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7BE40" w14:textId="77777777" w:rsidR="00E6427B" w:rsidRPr="00453BDD" w:rsidRDefault="00435B59">
      <w:pPr>
        <w:spacing w:before="100"/>
        <w:jc w:val="center"/>
        <w:rPr>
          <w:lang w:val="fr-FR"/>
        </w:rPr>
      </w:pPr>
      <w:r w:rsidRPr="00453BDD">
        <w:rPr>
          <w:rFonts w:ascii="Georgia" w:eastAsia="Georgia" w:hAnsi="Georgia" w:cs="Georgia"/>
          <w:b/>
          <w:bCs/>
          <w:caps/>
          <w:lang w:val="fr-FR"/>
        </w:rPr>
        <w:t>L'ENSEIGNEMENT TECHNIQUE ET LA FORMATION PROFESSIONNELLE AU BÉNIN</w:t>
      </w:r>
    </w:p>
    <w:p w14:paraId="058A7080" w14:textId="7CA3B911" w:rsidR="00E6427B" w:rsidRDefault="00435B59" w:rsidP="00453BDD">
      <w:pPr>
        <w:pBdr>
          <w:bottom w:val="single" w:sz="6" w:space="8" w:color="2E75B6"/>
        </w:pBdr>
        <w:spacing w:before="40" w:after="30"/>
        <w:jc w:val="center"/>
        <w:rPr>
          <w:rFonts w:ascii="Georgia" w:eastAsia="Georgia" w:hAnsi="Georgia" w:cs="Georgia"/>
          <w:i/>
          <w:iCs/>
          <w:lang w:val="fr-FR"/>
        </w:rPr>
      </w:pPr>
      <w:r w:rsidRPr="00267119">
        <w:rPr>
          <w:rFonts w:ascii="Georgia" w:eastAsia="Georgia" w:hAnsi="Georgia" w:cs="Georgia"/>
          <w:i/>
          <w:iCs/>
          <w:lang w:val="fr-FR"/>
        </w:rPr>
        <w:t>Avant 2016 &amp; Décennie 2016–</w:t>
      </w:r>
      <w:r w:rsidR="00453BDD" w:rsidRPr="00267119">
        <w:rPr>
          <w:rFonts w:ascii="Georgia" w:eastAsia="Georgia" w:hAnsi="Georgia" w:cs="Georgia"/>
          <w:i/>
          <w:iCs/>
          <w:lang w:val="fr-FR"/>
        </w:rPr>
        <w:t>2026 ·</w:t>
      </w:r>
      <w:r w:rsidR="00E37600">
        <w:rPr>
          <w:rFonts w:ascii="Georgia" w:eastAsia="Georgia" w:hAnsi="Georgia" w:cs="Georgia"/>
          <w:i/>
          <w:iCs/>
          <w:lang w:val="fr-FR"/>
        </w:rPr>
        <w:t xml:space="preserve"> Les </w:t>
      </w:r>
      <w:r w:rsidR="00453BDD" w:rsidRPr="00267119">
        <w:rPr>
          <w:rFonts w:ascii="Georgia" w:eastAsia="Georgia" w:hAnsi="Georgia" w:cs="Georgia"/>
          <w:i/>
          <w:iCs/>
          <w:lang w:val="fr-FR"/>
        </w:rPr>
        <w:t xml:space="preserve"> Recommandations</w:t>
      </w:r>
      <w:r w:rsidR="00E37600">
        <w:rPr>
          <w:rFonts w:ascii="Georgia" w:eastAsia="Georgia" w:hAnsi="Georgia" w:cs="Georgia"/>
          <w:i/>
          <w:iCs/>
          <w:lang w:val="fr-FR"/>
        </w:rPr>
        <w:t xml:space="preserve"> pour </w:t>
      </w:r>
      <w:r w:rsidRPr="00267119">
        <w:rPr>
          <w:rFonts w:ascii="Georgia" w:eastAsia="Georgia" w:hAnsi="Georgia" w:cs="Georgia"/>
          <w:i/>
          <w:iCs/>
          <w:lang w:val="fr-FR"/>
        </w:rPr>
        <w:t xml:space="preserve"> 2026–2033</w:t>
      </w:r>
    </w:p>
    <w:p w14:paraId="38A4F535" w14:textId="789FADB9" w:rsidR="00E6427B" w:rsidRPr="00267119" w:rsidRDefault="00435B59">
      <w:pPr>
        <w:spacing w:after="180"/>
        <w:jc w:val="both"/>
        <w:rPr>
          <w:lang w:val="fr-FR"/>
        </w:rPr>
      </w:pPr>
      <w:r w:rsidRPr="00267119">
        <w:rPr>
          <w:lang w:val="fr-FR"/>
        </w:rPr>
        <w:t>Chaque année, entre 75 000 et 80 000 jeunes Béninois arrivent sur le marché du travail. Au seuil de 2016, l'Enseignement et la Formation Techniques et Professionnels (ETFP) — qui devrait être la réponse naturelle à ce défi — ne touchait que 3 % des élèves après le BEPC, contre 97 % qui s'engageaient dans l'enseignement général, souvent sans débouchés clairs. Ce déséquilibre profond est l'un des premiers chantiers que le gouvernement Talon a voulu corriger dès son arrivée en avril 2016, en inscrivant la réfo</w:t>
      </w:r>
      <w:r w:rsidRPr="00267119">
        <w:rPr>
          <w:lang w:val="fr-FR"/>
        </w:rPr>
        <w:t>rme de l'ETFP au cœur de ses deux Programmes d'Action du Gouvernement. Fondé sur des sources officielles vérifiées, cet article retrace cette décennie de transformation, en mesure les acquis et les chantiers qui restent ouverts, et propose une feuille de route à l'horizon 2033.</w:t>
      </w:r>
    </w:p>
    <w:p w14:paraId="2B5FC101" w14:textId="77777777" w:rsidR="00E6427B" w:rsidRPr="00453BDD" w:rsidRDefault="00435B59">
      <w:pPr>
        <w:pBdr>
          <w:bottom w:val="single" w:sz="6" w:space="3" w:color="2E75B6"/>
        </w:pBdr>
        <w:spacing w:before="360" w:after="130"/>
        <w:rPr>
          <w:i/>
          <w:iCs/>
          <w:lang w:val="fr-FR"/>
        </w:rPr>
      </w:pPr>
      <w:r w:rsidRPr="00453BDD">
        <w:rPr>
          <w:rFonts w:ascii="Georgia" w:eastAsia="Georgia" w:hAnsi="Georgia" w:cs="Georgia"/>
          <w:b/>
          <w:bCs/>
          <w:i/>
          <w:iCs/>
          <w:caps/>
          <w:lang w:val="fr-FR"/>
        </w:rPr>
        <w:t>I. L'ETFP avant 2016 : le chantier hérité</w:t>
      </w:r>
    </w:p>
    <w:p w14:paraId="137C1989" w14:textId="77777777" w:rsidR="00E6427B" w:rsidRPr="00267119" w:rsidRDefault="00435B59">
      <w:pPr>
        <w:spacing w:after="180"/>
        <w:jc w:val="both"/>
        <w:rPr>
          <w:lang w:val="fr-FR"/>
        </w:rPr>
      </w:pPr>
      <w:r w:rsidRPr="00267119">
        <w:rPr>
          <w:lang w:val="fr-FR"/>
        </w:rPr>
        <w:t>L'enseignement technique béninois a des racines anciennes et solides — le Lycée Technique Félicien Mamadou Coulibaly de Cotonou existe depuis 1961 — mais le sous-secteur n'avait pas encore atteint sa pleine maturité. En 2005, l'ETFP comptait environ 32 200 élèves pour tout le pays, et la couverture en établissements agricoles publics se limitait à dix structures — cinq Collèges d'Enseignement Technique Agricole et cinq Lycées Techniques Agricoles — pour l'ensemble d'un territoire de plus de onze millions d'</w:t>
      </w:r>
      <w:r w:rsidRPr="00267119">
        <w:rPr>
          <w:lang w:val="fr-FR"/>
        </w:rPr>
        <w:t>habitants. Deux maux structurels pesaient sur ce sous-secteur. D'un côté, une dévalorisation sociale tenace : les filières techniques étaient perçues comme la voie des élèves en difficulté, et les familles préféraient maintenir leurs enfants dans l'enseignement général dans l'espoir d'un emploi de fonctionnaire. De l'autre, des conditions matérielles insuffisantes — ateliers sous-équipés, programmes obsolètes, enseignants sans formation pédagogique spécifique — qui empêchaient le secteur de tenir ses promes</w:t>
      </w:r>
      <w:r w:rsidRPr="00267119">
        <w:rPr>
          <w:lang w:val="fr-FR"/>
        </w:rPr>
        <w:t>ses même auprès de ceux qui le choisissaient.</w:t>
      </w:r>
    </w:p>
    <w:p w14:paraId="1AEC4BE7" w14:textId="77777777" w:rsidR="00E6427B" w:rsidRPr="00267119" w:rsidRDefault="00435B59">
      <w:pPr>
        <w:spacing w:after="180"/>
        <w:jc w:val="both"/>
        <w:rPr>
          <w:lang w:val="fr-FR"/>
        </w:rPr>
      </w:pPr>
      <w:r w:rsidRPr="00267119">
        <w:rPr>
          <w:lang w:val="fr-FR"/>
        </w:rPr>
        <w:t>L'apprentissage informel illustrait bien cette réalité : plus de 70 % des jeunes en formation professionnelle transitaient par le dispositif traditionnel maître-apprenti, transmettant des savoir-faire sans cadre légal, sans diplôme reconnu par l'État et sans protection sociale pour l'apprenti. Quant à l'inclusion des femmes, elle restait symbolique : 353 filles seulement bénéficiaient d'une bourse pour une formation technique sur l'ensemble du pays — une réalité que le nouveau gouvernement allait s'employer</w:t>
      </w:r>
      <w:r w:rsidRPr="00267119">
        <w:rPr>
          <w:lang w:val="fr-FR"/>
        </w:rPr>
        <w:t xml:space="preserve"> à transformer en profondeur.</w:t>
      </w:r>
    </w:p>
    <w:p w14:paraId="76289A0E" w14:textId="77777777" w:rsidR="00E6427B" w:rsidRPr="00453BDD" w:rsidRDefault="00435B59">
      <w:pPr>
        <w:pBdr>
          <w:bottom w:val="single" w:sz="6" w:space="3" w:color="2E75B6"/>
        </w:pBdr>
        <w:spacing w:before="360" w:after="130"/>
        <w:rPr>
          <w:i/>
          <w:iCs/>
          <w:lang w:val="fr-FR"/>
        </w:rPr>
      </w:pPr>
      <w:r w:rsidRPr="00453BDD">
        <w:rPr>
          <w:rFonts w:ascii="Georgia" w:eastAsia="Georgia" w:hAnsi="Georgia" w:cs="Georgia"/>
          <w:b/>
          <w:bCs/>
          <w:i/>
          <w:iCs/>
          <w:caps/>
          <w:lang w:val="fr-FR"/>
        </w:rPr>
        <w:t>II. La décennie 2016–2026 : les réalisations</w:t>
      </w:r>
    </w:p>
    <w:p w14:paraId="0EAB13AF" w14:textId="77777777" w:rsidR="00E6427B" w:rsidRPr="00267119" w:rsidRDefault="00435B59">
      <w:pPr>
        <w:spacing w:after="180"/>
        <w:jc w:val="both"/>
        <w:rPr>
          <w:lang w:val="fr-FR"/>
        </w:rPr>
      </w:pPr>
      <w:r w:rsidRPr="00267119">
        <w:rPr>
          <w:lang w:val="fr-FR"/>
        </w:rPr>
        <w:t>La réforme a d'abord été une œuvre législative. Une stratégie nationale sectorielle</w:t>
      </w:r>
      <w:r w:rsidRPr="00267119">
        <w:rPr>
          <w:rStyle w:val="FootnoteReference"/>
        </w:rPr>
        <w:footnoteReference w:id="1"/>
      </w:r>
      <w:r w:rsidRPr="00267119">
        <w:rPr>
          <w:lang w:val="fr-FR"/>
        </w:rPr>
        <w:t xml:space="preserve"> a fourni pour la première fois une boussole commune à l'ensemble des acteurs. Une loi-cadre historique</w:t>
      </w:r>
      <w:r w:rsidRPr="00267119">
        <w:rPr>
          <w:rStyle w:val="FootnoteReference"/>
        </w:rPr>
        <w:footnoteReference w:id="2"/>
      </w:r>
      <w:r w:rsidRPr="00267119">
        <w:rPr>
          <w:lang w:val="fr-FR"/>
        </w:rPr>
        <w:t xml:space="preserve"> a suivi, rendant la formation par alternance obligatoire dans tous les établissements et intégrant le secteur privé dans la gouvernance du système — une rupture profonde avec les pratiques antérieures. L'édifice réglementaire a été parachevé en juillet 2025 par trois décrets</w:t>
      </w:r>
      <w:r w:rsidRPr="00267119">
        <w:rPr>
          <w:rStyle w:val="FootnoteReference"/>
        </w:rPr>
        <w:footnoteReference w:id="3"/>
      </w:r>
      <w:r w:rsidRPr="00267119">
        <w:rPr>
          <w:lang w:val="fr-FR"/>
        </w:rPr>
        <w:t xml:space="preserve"> dont le plus novateur lie désormais les dotations budgétaires des établissements à leurs résultats mesurables — taux d'insertion, réussite aux examens, satisfaction des employeurs.</w:t>
      </w:r>
    </w:p>
    <w:p w14:paraId="541ED925" w14:textId="380D9CBD" w:rsidR="00E6427B" w:rsidRPr="00267119" w:rsidRDefault="00435B59">
      <w:pPr>
        <w:spacing w:after="180"/>
        <w:jc w:val="both"/>
        <w:rPr>
          <w:lang w:val="fr-FR"/>
        </w:rPr>
      </w:pPr>
      <w:r w:rsidRPr="00267119">
        <w:rPr>
          <w:lang w:val="fr-FR"/>
        </w:rPr>
        <w:t>La création de l'Agence de Développement de l'Enseignement Technique</w:t>
      </w:r>
      <w:r w:rsidRPr="00267119">
        <w:rPr>
          <w:rStyle w:val="FootnoteReference"/>
        </w:rPr>
        <w:footnoteReference w:id="4"/>
      </w:r>
      <w:r w:rsidRPr="00267119">
        <w:rPr>
          <w:lang w:val="fr-FR"/>
        </w:rPr>
        <w:t xml:space="preserve"> a constitué le tournant institutionnel le plus structurant de la décennie. Avant 2021, il n'existait aucune structure nationale dédiée à la maîtrise d'ouvrage des projets ETFP : les programmes financés par les partenaires internationaux étaient exécutés de façon dispersée, sans continuité ni mémoire technique d'un projet à l'autre. Placée sous la tutelle directe de la Présidence de la République, l'Agence coordonne aujourd'hui trois projets d'envergure — le FP2E de la Banque mondiale (300 millions USD), le</w:t>
      </w:r>
      <w:r w:rsidRPr="00267119">
        <w:rPr>
          <w:lang w:val="fr-FR"/>
        </w:rPr>
        <w:t xml:space="preserve"> ProFAR de l'AFD, et le PC5LTA de la BOAD (49 millions USD) — en portant une exigence de cohérence et de qualité que le passé ne connaissait pas.</w:t>
      </w:r>
    </w:p>
    <w:p w14:paraId="3E7D3F9A" w14:textId="7D42D2F3" w:rsidR="00E6427B" w:rsidRPr="00267119" w:rsidRDefault="00435B59">
      <w:pPr>
        <w:spacing w:after="180"/>
        <w:jc w:val="both"/>
        <w:rPr>
          <w:lang w:val="fr-FR"/>
        </w:rPr>
      </w:pPr>
      <w:r w:rsidRPr="00267119">
        <w:rPr>
          <w:lang w:val="fr-FR"/>
        </w:rPr>
        <w:t>Sèmè City représente, elle, le pari sur les métiers d'avenir. Inscrite dès décembre 2016 parmi les projets phares du Programme d'Action du Gouvernement et dotée d'une agence de développement</w:t>
      </w:r>
      <w:r w:rsidRPr="00267119">
        <w:rPr>
          <w:rStyle w:val="FootnoteReference"/>
        </w:rPr>
        <w:footnoteReference w:id="5"/>
      </w:r>
      <w:r w:rsidRPr="00267119">
        <w:rPr>
          <w:lang w:val="fr-FR"/>
        </w:rPr>
        <w:t>, cette Cité internationale de l'innovation et du savoir a reçu plus de 762 millions de dollars sur la période 2016–2021. Elle opère aujourd'hui sur quatre sites autour de Cotonou en attendant l'achèvement de son campus définitif à Ouidah — 336 hectares destinés à terme à accueillir 30 000 étudiants et chercheurs. Plus de 300 entrepreneurs y ont déjà été incubés, des partenariats ont été noués avec la Sorbonne et les Écoles Centrales françaises, et une École des Métiers du Numérique</w:t>
      </w:r>
      <w:r w:rsidRPr="00267119">
        <w:rPr>
          <w:rStyle w:val="FootnoteReference"/>
        </w:rPr>
        <w:footnoteReference w:id="6"/>
      </w:r>
      <w:r w:rsidRPr="00267119">
        <w:rPr>
          <w:lang w:val="fr-FR"/>
        </w:rPr>
        <w:t xml:space="preserve"> y forme techniciens en fibre optique et spécialistes du numérique, avec depuis octobre 2025 une première promotion de quarante jeunes femmes boursières en cybersécurité. La gouvernance a été consolidée en 2025 par la création d'une Fondation</w:t>
      </w:r>
      <w:r w:rsidRPr="00267119">
        <w:rPr>
          <w:rStyle w:val="FootnoteReference"/>
        </w:rPr>
        <w:footnoteReference w:id="7"/>
      </w:r>
      <w:r w:rsidRPr="00267119">
        <w:rPr>
          <w:lang w:val="fr-FR"/>
        </w:rPr>
        <w:t xml:space="preserve"> présidée par l'ancien Premier Ministre Lionel Zinsou, marquant l'entrée de Sèmè City dans une nouvelle phase de maturité institutionnelle.</w:t>
      </w:r>
    </w:p>
    <w:p w14:paraId="65FDC4A5" w14:textId="77777777" w:rsidR="00E6427B" w:rsidRPr="00267119" w:rsidRDefault="00435B59">
      <w:pPr>
        <w:spacing w:after="180"/>
        <w:jc w:val="both"/>
        <w:rPr>
          <w:lang w:val="fr-FR"/>
        </w:rPr>
      </w:pPr>
      <w:r w:rsidRPr="00267119">
        <w:rPr>
          <w:lang w:val="fr-FR"/>
        </w:rPr>
        <w:t>Sur le plan de l'infrastructure scolaire, le gouvernement a lancé le plan le plus ambitieux de l'histoire de l'ETFP béninois : 30 Lycées Techniques Agricoles, 16 Lycées Techniques Professionnels et 8 Écoles des Métiers d'ici 2030. Chaque lycée agricole sera articulé autour d'une Division Enseignement et d'une Unité Économique à Vocation Pédagogique — une exploitation productive dont les revenus contribuent à l'autofinancement de l'établissement. Pour les peupler en formateurs qualifiés, 662 Aspirants au Mét</w:t>
      </w:r>
      <w:r w:rsidRPr="00267119">
        <w:rPr>
          <w:lang w:val="fr-FR"/>
        </w:rPr>
        <w:t>ier d'Enseignant ont été recrutés par concours en 2021 et sont en formation à l'Université Nationale d'Agriculture de Kétou</w:t>
      </w:r>
      <w:r w:rsidRPr="00267119">
        <w:rPr>
          <w:rStyle w:val="FootnoteReference"/>
        </w:rPr>
        <w:footnoteReference w:id="8"/>
      </w:r>
      <w:r w:rsidRPr="00267119">
        <w:rPr>
          <w:lang w:val="fr-FR"/>
        </w:rPr>
        <w:t>, chacun bénéficiant d'une bourse mensuelle de 100 000 FCFA et d'un ordinateur portable. En parallèle, vingt-quatre professeurs certifiés ont été envoyés en France pour une formation de quatre ans afin de constituer le noyau d'un corps professoral d'excellence.</w:t>
      </w:r>
    </w:p>
    <w:p w14:paraId="536DD5A4" w14:textId="77777777" w:rsidR="00E6427B" w:rsidRPr="00267119" w:rsidRDefault="00435B59">
      <w:pPr>
        <w:spacing w:after="180"/>
        <w:jc w:val="both"/>
        <w:rPr>
          <w:lang w:val="fr-FR"/>
        </w:rPr>
      </w:pPr>
      <w:r w:rsidRPr="00267119">
        <w:rPr>
          <w:lang w:val="fr-FR"/>
        </w:rPr>
        <w:t xml:space="preserve">L'inclusion des femmes a été l'une des transformations les plus spectaculaires : les bourses aux filles sont passées de 353 à plus de 4 200, soit une multiplication par douze, auxquelles s'ajoutent quelque 6 000 inscriptions gratuites. La session du Certificat de Qualification aux Métiers d'octobre 2025 a rassemblé 41 943 candidats, témoignant d'une formalisation de l'apprentissage désormais bien ancrée dans les pratiques. Le Programme Spécial d'Insertion dans l'Emploi a inséré 7 130 jeunes en entreprise à </w:t>
      </w:r>
      <w:r w:rsidRPr="00267119">
        <w:rPr>
          <w:lang w:val="fr-FR"/>
        </w:rPr>
        <w:t>fin 2024, révélant à la fois le potentiel du dispositif et l'ampleur de la demande encore à satisfaire.</w:t>
      </w:r>
    </w:p>
    <w:p w14:paraId="37A9DD67" w14:textId="77777777" w:rsidR="00E6427B" w:rsidRPr="00267119" w:rsidRDefault="00E6427B">
      <w:pPr>
        <w:rPr>
          <w:lang w:val="fr-FR"/>
        </w:rPr>
      </w:pPr>
    </w:p>
    <w:p w14:paraId="0A9F96AE" w14:textId="77777777" w:rsidR="00E6427B" w:rsidRPr="00267119" w:rsidRDefault="00435B59">
      <w:pPr>
        <w:spacing w:after="80"/>
        <w:jc w:val="both"/>
        <w:rPr>
          <w:b/>
          <w:bCs/>
          <w:sz w:val="20"/>
          <w:szCs w:val="20"/>
          <w:lang w:val="fr-FR"/>
        </w:rPr>
      </w:pPr>
      <w:r w:rsidRPr="00267119">
        <w:rPr>
          <w:b/>
          <w:bCs/>
          <w:sz w:val="20"/>
          <w:szCs w:val="20"/>
          <w:lang w:val="fr-FR"/>
        </w:rPr>
        <w:t>Tableau 1 — État comparatif de l'ETFP béninois : avant 2016 et à 2026</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2560"/>
        <w:gridCol w:w="3800"/>
      </w:tblGrid>
      <w:tr w:rsidR="00267119" w:rsidRPr="00267119" w14:paraId="20C4E75B" w14:textId="77777777" w:rsidTr="00267119">
        <w:trPr>
          <w:tblHeader/>
        </w:trPr>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27645805" w14:textId="77777777" w:rsidR="00E6427B" w:rsidRPr="00267119" w:rsidRDefault="00435B59" w:rsidP="00267119">
            <w:pPr>
              <w:shd w:val="clear" w:color="auto" w:fill="FFFFFF" w:themeFill="background1"/>
              <w:rPr>
                <w:lang w:val="fr-FR"/>
              </w:rPr>
            </w:pPr>
            <w:r w:rsidRPr="00267119">
              <w:rPr>
                <w:b/>
                <w:bCs/>
                <w:sz w:val="18"/>
                <w:szCs w:val="18"/>
                <w:lang w:val="fr-FR"/>
              </w:rPr>
              <w:t>Dimension</w:t>
            </w:r>
          </w:p>
        </w:tc>
        <w:tc>
          <w:tcPr>
            <w:tcW w:w="256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4F91843E" w14:textId="77777777" w:rsidR="00E6427B" w:rsidRPr="00267119" w:rsidRDefault="00435B59" w:rsidP="00267119">
            <w:pPr>
              <w:shd w:val="clear" w:color="auto" w:fill="FFFFFF" w:themeFill="background1"/>
              <w:rPr>
                <w:lang w:val="fr-FR"/>
              </w:rPr>
            </w:pPr>
            <w:r w:rsidRPr="00267119">
              <w:rPr>
                <w:b/>
                <w:bCs/>
                <w:sz w:val="18"/>
                <w:szCs w:val="18"/>
                <w:lang w:val="fr-FR"/>
              </w:rPr>
              <w:t>Avant 2016</w:t>
            </w:r>
          </w:p>
        </w:tc>
        <w:tc>
          <w:tcPr>
            <w:tcW w:w="38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1C8B22DB" w14:textId="77777777" w:rsidR="00E6427B" w:rsidRPr="00267119" w:rsidRDefault="00435B59" w:rsidP="00267119">
            <w:pPr>
              <w:shd w:val="clear" w:color="auto" w:fill="FFFFFF" w:themeFill="background1"/>
              <w:rPr>
                <w:lang w:val="fr-FR"/>
              </w:rPr>
            </w:pPr>
            <w:r w:rsidRPr="00267119">
              <w:rPr>
                <w:b/>
                <w:bCs/>
                <w:sz w:val="18"/>
                <w:szCs w:val="18"/>
                <w:lang w:val="fr-FR"/>
              </w:rPr>
              <w:t>À 2026</w:t>
            </w:r>
          </w:p>
        </w:tc>
      </w:tr>
      <w:tr w:rsidR="00267119" w:rsidRPr="00267119" w14:paraId="4E5039CE" w14:textId="77777777" w:rsidTr="00267119">
        <w:tc>
          <w:tcPr>
            <w:tcW w:w="926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110" w:type="dxa"/>
              <w:bottom w:w="55" w:type="dxa"/>
              <w:right w:w="110" w:type="dxa"/>
            </w:tcMar>
          </w:tcPr>
          <w:p w14:paraId="3CEC3F96"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b/>
                <w:bCs/>
                <w:caps/>
                <w:sz w:val="20"/>
                <w:szCs w:val="20"/>
                <w:lang w:val="fr-FR"/>
              </w:rPr>
              <w:t>Cadre institutionnel et législatif</w:t>
            </w:r>
          </w:p>
        </w:tc>
      </w:tr>
      <w:tr w:rsidR="00267119" w:rsidRPr="00267119" w14:paraId="3DF63103" w14:textId="77777777" w:rsidTr="00267119">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76C66548"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b/>
                <w:bCs/>
                <w:sz w:val="20"/>
                <w:szCs w:val="20"/>
                <w:lang w:val="fr-FR"/>
              </w:rPr>
              <w:t>Agence nationale de coordination</w:t>
            </w:r>
          </w:p>
        </w:tc>
        <w:tc>
          <w:tcPr>
            <w:tcW w:w="256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34286601"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Inexistante</w:t>
            </w:r>
          </w:p>
        </w:tc>
        <w:tc>
          <w:tcPr>
            <w:tcW w:w="38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0CDE0F1B"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ADET opérationnelle depuis 2021</w:t>
            </w:r>
          </w:p>
        </w:tc>
      </w:tr>
      <w:tr w:rsidR="00267119" w:rsidRPr="00267119" w14:paraId="19806E06" w14:textId="77777777" w:rsidTr="00267119">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28C30E64"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b/>
                <w:bCs/>
                <w:sz w:val="20"/>
                <w:szCs w:val="20"/>
                <w:lang w:val="fr-FR"/>
              </w:rPr>
              <w:t>Loi-cadre ETFP</w:t>
            </w:r>
          </w:p>
        </w:tc>
        <w:tc>
          <w:tcPr>
            <w:tcW w:w="256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5E0BE50C"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Aucune</w:t>
            </w:r>
          </w:p>
        </w:tc>
        <w:tc>
          <w:tcPr>
            <w:tcW w:w="38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095EEB95"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Adoptée en 2022</w:t>
            </w:r>
          </w:p>
        </w:tc>
      </w:tr>
      <w:tr w:rsidR="00267119" w:rsidRPr="00267119" w14:paraId="5483B9C5" w14:textId="77777777" w:rsidTr="00267119">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6F09AD2D"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b/>
                <w:bCs/>
                <w:sz w:val="20"/>
                <w:szCs w:val="20"/>
                <w:lang w:val="fr-FR"/>
              </w:rPr>
              <w:t>Certification de l'apprentissage</w:t>
            </w:r>
          </w:p>
        </w:tc>
        <w:tc>
          <w:tcPr>
            <w:tcW w:w="256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61457EBF"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Non formalisée</w:t>
            </w:r>
          </w:p>
        </w:tc>
        <w:tc>
          <w:tcPr>
            <w:tcW w:w="38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421C58B4"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Décret en vigueur depuis 2022</w:t>
            </w:r>
          </w:p>
        </w:tc>
      </w:tr>
      <w:tr w:rsidR="00267119" w:rsidRPr="00267119" w14:paraId="2B2DF1E4" w14:textId="77777777" w:rsidTr="00267119">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5C7AA63D"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b/>
                <w:bCs/>
                <w:sz w:val="20"/>
                <w:szCs w:val="20"/>
                <w:lang w:val="fr-FR"/>
              </w:rPr>
              <w:t>Financement lié aux résultats</w:t>
            </w:r>
          </w:p>
        </w:tc>
        <w:tc>
          <w:tcPr>
            <w:tcW w:w="256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68484CAC"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Absent</w:t>
            </w:r>
          </w:p>
        </w:tc>
        <w:tc>
          <w:tcPr>
            <w:tcW w:w="38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38B24C82"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Décret en vigueur depuis 2025</w:t>
            </w:r>
          </w:p>
        </w:tc>
      </w:tr>
      <w:tr w:rsidR="00267119" w:rsidRPr="00267119" w14:paraId="1595ED06" w14:textId="77777777" w:rsidTr="00267119">
        <w:tc>
          <w:tcPr>
            <w:tcW w:w="926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110" w:type="dxa"/>
              <w:bottom w:w="55" w:type="dxa"/>
              <w:right w:w="110" w:type="dxa"/>
            </w:tcMar>
          </w:tcPr>
          <w:p w14:paraId="1CA5896D"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b/>
                <w:bCs/>
                <w:caps/>
                <w:sz w:val="20"/>
                <w:szCs w:val="20"/>
                <w:lang w:val="fr-FR"/>
              </w:rPr>
              <w:t>Infrastructure et offre de formation</w:t>
            </w:r>
          </w:p>
        </w:tc>
      </w:tr>
      <w:tr w:rsidR="00267119" w:rsidRPr="00267119" w14:paraId="4AE6A49B" w14:textId="77777777" w:rsidTr="00267119">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33B2AB2A"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b/>
                <w:bCs/>
                <w:sz w:val="20"/>
                <w:szCs w:val="20"/>
                <w:lang w:val="fr-FR"/>
              </w:rPr>
              <w:t>Établissements agricoles publics</w:t>
            </w:r>
          </w:p>
        </w:tc>
        <w:tc>
          <w:tcPr>
            <w:tcW w:w="256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685D35A2"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10 (5 CETA + 5 LTA)</w:t>
            </w:r>
          </w:p>
        </w:tc>
        <w:tc>
          <w:tcPr>
            <w:tcW w:w="38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5ADF7DB6"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Plan : 30 LTA + 16 LTP + 8 Écoles</w:t>
            </w:r>
          </w:p>
        </w:tc>
      </w:tr>
      <w:tr w:rsidR="00267119" w:rsidRPr="00267119" w14:paraId="269B20E1" w14:textId="77777777" w:rsidTr="00267119">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0D45A0F5"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b/>
                <w:bCs/>
                <w:sz w:val="20"/>
                <w:szCs w:val="20"/>
                <w:lang w:val="fr-FR"/>
              </w:rPr>
              <w:t>Pôle innovation et numérique</w:t>
            </w:r>
          </w:p>
        </w:tc>
        <w:tc>
          <w:tcPr>
            <w:tcW w:w="256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433C97E4"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Inexistant</w:t>
            </w:r>
          </w:p>
        </w:tc>
        <w:tc>
          <w:tcPr>
            <w:tcW w:w="38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069BEB36"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Sèmè City : 4 sites + campus Ouidah</w:t>
            </w:r>
          </w:p>
        </w:tc>
      </w:tr>
      <w:tr w:rsidR="00267119" w:rsidRPr="00267119" w14:paraId="72A9D9E7" w14:textId="77777777" w:rsidTr="00267119">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28491C4D"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b/>
                <w:bCs/>
                <w:sz w:val="20"/>
                <w:szCs w:val="20"/>
                <w:lang w:val="fr-FR"/>
              </w:rPr>
              <w:t>Élèves orientés en ETFP</w:t>
            </w:r>
          </w:p>
        </w:tc>
        <w:tc>
          <w:tcPr>
            <w:tcW w:w="256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17CF712B"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 3 %</w:t>
            </w:r>
          </w:p>
        </w:tc>
        <w:tc>
          <w:tcPr>
            <w:tcW w:w="38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0C354522"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Hausse progressive · objectif 70 % en 2030</w:t>
            </w:r>
          </w:p>
        </w:tc>
      </w:tr>
      <w:tr w:rsidR="00267119" w:rsidRPr="00267119" w14:paraId="5EAD51AA" w14:textId="77777777" w:rsidTr="00267119">
        <w:tc>
          <w:tcPr>
            <w:tcW w:w="926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110" w:type="dxa"/>
              <w:bottom w:w="55" w:type="dxa"/>
              <w:right w:w="110" w:type="dxa"/>
            </w:tcMar>
          </w:tcPr>
          <w:p w14:paraId="791967BA"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b/>
                <w:bCs/>
                <w:caps/>
                <w:sz w:val="20"/>
                <w:szCs w:val="20"/>
                <w:lang w:val="fr-FR"/>
              </w:rPr>
              <w:t>Formation des enseignants</w:t>
            </w:r>
          </w:p>
        </w:tc>
      </w:tr>
      <w:tr w:rsidR="00267119" w:rsidRPr="00267119" w14:paraId="55BDBA7F" w14:textId="77777777" w:rsidTr="00267119">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3A22D3C7"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b/>
                <w:bCs/>
                <w:sz w:val="20"/>
                <w:szCs w:val="20"/>
                <w:lang w:val="fr-FR"/>
              </w:rPr>
              <w:t>Programme dédié aux LTA</w:t>
            </w:r>
          </w:p>
        </w:tc>
        <w:tc>
          <w:tcPr>
            <w:tcW w:w="256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65235E25"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Inexistant</w:t>
            </w:r>
          </w:p>
        </w:tc>
        <w:tc>
          <w:tcPr>
            <w:tcW w:w="38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18DF9E04"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662 AME recrutés par concours (2021)</w:t>
            </w:r>
          </w:p>
        </w:tc>
      </w:tr>
      <w:tr w:rsidR="00267119" w:rsidRPr="00267119" w14:paraId="35661D46" w14:textId="77777777" w:rsidTr="00267119">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6AA87912"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b/>
                <w:bCs/>
                <w:sz w:val="20"/>
                <w:szCs w:val="20"/>
                <w:lang w:val="fr-FR"/>
              </w:rPr>
              <w:t>Professeurs formés à l'étranger</w:t>
            </w:r>
          </w:p>
        </w:tc>
        <w:tc>
          <w:tcPr>
            <w:tcW w:w="256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5C3986B2"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Aucun</w:t>
            </w:r>
          </w:p>
        </w:tc>
        <w:tc>
          <w:tcPr>
            <w:tcW w:w="38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25F14EBB"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24 en France · formation de 4 ans</w:t>
            </w:r>
          </w:p>
        </w:tc>
      </w:tr>
      <w:tr w:rsidR="00267119" w:rsidRPr="00267119" w14:paraId="5990B116" w14:textId="77777777" w:rsidTr="00267119">
        <w:tc>
          <w:tcPr>
            <w:tcW w:w="926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110" w:type="dxa"/>
              <w:bottom w:w="55" w:type="dxa"/>
              <w:right w:w="110" w:type="dxa"/>
            </w:tcMar>
          </w:tcPr>
          <w:p w14:paraId="297DC8E5"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b/>
                <w:bCs/>
                <w:caps/>
                <w:sz w:val="20"/>
                <w:szCs w:val="20"/>
                <w:lang w:val="fr-FR"/>
              </w:rPr>
              <w:t>Inclusion et certification</w:t>
            </w:r>
          </w:p>
        </w:tc>
      </w:tr>
      <w:tr w:rsidR="00267119" w:rsidRPr="00267119" w14:paraId="6EDBB612" w14:textId="77777777" w:rsidTr="00267119">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1EE6862A"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b/>
                <w:bCs/>
                <w:sz w:val="20"/>
                <w:szCs w:val="20"/>
                <w:lang w:val="fr-FR"/>
              </w:rPr>
              <w:t>Bourses pour les filles</w:t>
            </w:r>
          </w:p>
        </w:tc>
        <w:tc>
          <w:tcPr>
            <w:tcW w:w="256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0CB5C5B0"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353 au total</w:t>
            </w:r>
          </w:p>
        </w:tc>
        <w:tc>
          <w:tcPr>
            <w:tcW w:w="38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346DAEE7"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4 200+ (×12) + 6 000 gratuités</w:t>
            </w:r>
          </w:p>
        </w:tc>
      </w:tr>
      <w:tr w:rsidR="00267119" w:rsidRPr="00267119" w14:paraId="1BDCE3CE" w14:textId="77777777" w:rsidTr="00267119">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7DE4CECA"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b/>
                <w:bCs/>
                <w:sz w:val="20"/>
                <w:szCs w:val="20"/>
                <w:lang w:val="fr-FR"/>
              </w:rPr>
              <w:t>Candidats au CQM (annuel)</w:t>
            </w:r>
          </w:p>
        </w:tc>
        <w:tc>
          <w:tcPr>
            <w:tcW w:w="256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4DDE1E22"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Non formalisé</w:t>
            </w:r>
          </w:p>
        </w:tc>
        <w:tc>
          <w:tcPr>
            <w:tcW w:w="38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5D36D6D7"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41 943 — session octobre 2025</w:t>
            </w:r>
          </w:p>
        </w:tc>
      </w:tr>
      <w:tr w:rsidR="00267119" w:rsidRPr="00267119" w14:paraId="3B03620D" w14:textId="77777777" w:rsidTr="00267119">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041C0652"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b/>
                <w:bCs/>
                <w:sz w:val="20"/>
                <w:szCs w:val="20"/>
                <w:lang w:val="fr-FR"/>
              </w:rPr>
              <w:t>Insertions via le PSIE</w:t>
            </w:r>
          </w:p>
        </w:tc>
        <w:tc>
          <w:tcPr>
            <w:tcW w:w="256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422B18E8"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Programme inexistant</w:t>
            </w:r>
          </w:p>
        </w:tc>
        <w:tc>
          <w:tcPr>
            <w:tcW w:w="3800" w:type="dxa"/>
            <w:tcBorders>
              <w:top w:val="single" w:sz="4" w:space="0" w:color="auto"/>
              <w:left w:val="single" w:sz="4" w:space="0" w:color="auto"/>
              <w:bottom w:val="single" w:sz="4" w:space="0" w:color="auto"/>
              <w:right w:val="single" w:sz="4" w:space="0" w:color="auto"/>
            </w:tcBorders>
            <w:shd w:val="clear" w:color="auto" w:fill="FFFFFF" w:themeFill="background1"/>
            <w:tcMar>
              <w:top w:w="65" w:type="dxa"/>
              <w:left w:w="110" w:type="dxa"/>
              <w:bottom w:w="65" w:type="dxa"/>
              <w:right w:w="110" w:type="dxa"/>
            </w:tcMar>
          </w:tcPr>
          <w:p w14:paraId="0A676110" w14:textId="77777777" w:rsidR="00E6427B" w:rsidRPr="00267119" w:rsidRDefault="00435B59" w:rsidP="00267119">
            <w:pPr>
              <w:shd w:val="clear" w:color="auto" w:fill="FFFFFF" w:themeFill="background1"/>
              <w:rPr>
                <w:rFonts w:ascii="Times New Roman" w:hAnsi="Times New Roman" w:cs="Times New Roman"/>
                <w:sz w:val="20"/>
                <w:szCs w:val="20"/>
                <w:lang w:val="fr-FR"/>
              </w:rPr>
            </w:pPr>
            <w:r w:rsidRPr="00267119">
              <w:rPr>
                <w:rFonts w:ascii="Times New Roman" w:hAnsi="Times New Roman" w:cs="Times New Roman"/>
                <w:sz w:val="20"/>
                <w:szCs w:val="20"/>
                <w:lang w:val="fr-FR"/>
              </w:rPr>
              <w:t>7 130 jeunes en entreprise (2024)</w:t>
            </w:r>
          </w:p>
        </w:tc>
      </w:tr>
    </w:tbl>
    <w:p w14:paraId="0BD57241" w14:textId="77777777" w:rsidR="00E6427B" w:rsidRPr="00267119" w:rsidRDefault="00E6427B" w:rsidP="00267119">
      <w:pPr>
        <w:shd w:val="clear" w:color="auto" w:fill="FFFFFF" w:themeFill="background1"/>
      </w:pPr>
    </w:p>
    <w:p w14:paraId="0B27DB6F" w14:textId="1045571F" w:rsidR="003416F4" w:rsidRPr="00267119" w:rsidRDefault="003416F4">
      <w:pPr>
        <w:spacing w:after="180"/>
        <w:jc w:val="both"/>
        <w:rPr>
          <w:lang w:val="fr-FR"/>
        </w:rPr>
      </w:pPr>
      <w:r w:rsidRPr="00267119">
        <w:rPr>
          <w:lang w:val="fr-FR"/>
        </w:rPr>
        <w:t xml:space="preserve">Cependant, toute transformation d'une telle ampleur porte en elle des étapes qui demandent persévérance et ajustements. Quatre chantiers méritent une attention particulière dans les années à </w:t>
      </w:r>
      <w:r w:rsidR="00267119" w:rsidRPr="00267119">
        <w:rPr>
          <w:lang w:val="fr-FR"/>
        </w:rPr>
        <w:t>venir :</w:t>
      </w:r>
    </w:p>
    <w:p w14:paraId="642BF57A" w14:textId="77777777" w:rsidR="003416F4" w:rsidRPr="00267119" w:rsidRDefault="00435B59" w:rsidP="003416F4">
      <w:pPr>
        <w:pStyle w:val="ListParagraph"/>
        <w:numPr>
          <w:ilvl w:val="0"/>
          <w:numId w:val="2"/>
        </w:numPr>
        <w:spacing w:after="180"/>
        <w:jc w:val="both"/>
        <w:rPr>
          <w:lang w:val="fr-FR"/>
        </w:rPr>
      </w:pPr>
      <w:r w:rsidRPr="00267119">
        <w:rPr>
          <w:lang w:val="fr-FR"/>
        </w:rPr>
        <w:t>Le premier est le rythme d'exécution des projets d'infrastructure : la procédure de sélection des entreprises de construction a nécessité un réajustement en 2024 pour garantir la qualité des prestataires — une exigence légitime qui appelle désormais à trouver le régime de croisière optimal. Le deuxième est la gouvernance participative : les nouveaux statuts-types des établissements gagneront à associer plus étroitement enseignants et partenaires privés aux décisions pédagogiques, dans l'esprit du Cadre nati</w:t>
      </w:r>
      <w:r w:rsidRPr="00267119">
        <w:rPr>
          <w:lang w:val="fr-FR"/>
        </w:rPr>
        <w:t xml:space="preserve">onal de concertation récemment instauré. </w:t>
      </w:r>
    </w:p>
    <w:p w14:paraId="7E5ED930" w14:textId="77777777" w:rsidR="003416F4" w:rsidRPr="00267119" w:rsidRDefault="00435B59" w:rsidP="003416F4">
      <w:pPr>
        <w:pStyle w:val="ListParagraph"/>
        <w:numPr>
          <w:ilvl w:val="0"/>
          <w:numId w:val="2"/>
        </w:numPr>
        <w:spacing w:after="180"/>
        <w:jc w:val="both"/>
        <w:rPr>
          <w:lang w:val="fr-FR"/>
        </w:rPr>
      </w:pPr>
      <w:r w:rsidRPr="00267119">
        <w:rPr>
          <w:lang w:val="fr-FR"/>
        </w:rPr>
        <w:t xml:space="preserve">Le troisième touche à l'attractivité de la carrière d'enseignant technique : les 662 Aspirants au Métier d'Enseignant sont un capital humain précieux dont la fidélisation passe par une amélioration progressive des conditions d'exercice, un effort déjà amorcé par le gouvernement. </w:t>
      </w:r>
    </w:p>
    <w:p w14:paraId="3572EAE1" w14:textId="05754182" w:rsidR="00E6427B" w:rsidRPr="00267119" w:rsidRDefault="00435B59" w:rsidP="003416F4">
      <w:pPr>
        <w:pStyle w:val="ListParagraph"/>
        <w:numPr>
          <w:ilvl w:val="0"/>
          <w:numId w:val="2"/>
        </w:numPr>
        <w:spacing w:after="180"/>
        <w:jc w:val="both"/>
        <w:rPr>
          <w:lang w:val="fr-FR"/>
        </w:rPr>
      </w:pPr>
      <w:r w:rsidRPr="00267119">
        <w:rPr>
          <w:lang w:val="fr-FR"/>
        </w:rPr>
        <w:t>Le quatrième, le plus patient, est le changement des représentations sociales : faire des métiers techniques un premier choix valorisé et non une orientation par défaut est un travail de longue haleine qui engage la société tout entière, bien au-delà du seul secteur éducatif.</w:t>
      </w:r>
    </w:p>
    <w:p w14:paraId="14A99C0C" w14:textId="77777777" w:rsidR="00E6427B" w:rsidRDefault="00435B59">
      <w:pPr>
        <w:pBdr>
          <w:bottom w:val="single" w:sz="6" w:space="3" w:color="2E75B6"/>
        </w:pBdr>
        <w:spacing w:before="360" w:after="130"/>
        <w:rPr>
          <w:rFonts w:ascii="Georgia" w:eastAsia="Georgia" w:hAnsi="Georgia" w:cs="Georgia"/>
          <w:b/>
          <w:bCs/>
          <w:i/>
          <w:iCs/>
          <w:caps/>
          <w:sz w:val="24"/>
          <w:szCs w:val="24"/>
          <w:lang w:val="fr-FR"/>
        </w:rPr>
      </w:pPr>
      <w:r w:rsidRPr="00453BDD">
        <w:rPr>
          <w:rFonts w:ascii="Georgia" w:eastAsia="Georgia" w:hAnsi="Georgia" w:cs="Georgia"/>
          <w:b/>
          <w:bCs/>
          <w:i/>
          <w:iCs/>
          <w:caps/>
          <w:sz w:val="24"/>
          <w:szCs w:val="24"/>
          <w:lang w:val="fr-FR"/>
        </w:rPr>
        <w:t>IV. Recommandations 2026–2033</w:t>
      </w:r>
    </w:p>
    <w:p w14:paraId="53E0BE90" w14:textId="77777777" w:rsidR="00453BDD" w:rsidRDefault="00453BDD">
      <w:pPr>
        <w:spacing w:after="180"/>
        <w:jc w:val="both"/>
        <w:rPr>
          <w:lang w:val="fr-FR"/>
        </w:rPr>
      </w:pPr>
    </w:p>
    <w:p w14:paraId="7918D7ED" w14:textId="1AAE61E1" w:rsidR="00267BC5" w:rsidRPr="00267119" w:rsidRDefault="00267BC5">
      <w:pPr>
        <w:spacing w:after="180"/>
        <w:jc w:val="both"/>
        <w:rPr>
          <w:lang w:val="fr-FR"/>
        </w:rPr>
      </w:pPr>
      <w:r w:rsidRPr="00267119">
        <w:rPr>
          <w:lang w:val="fr-FR"/>
        </w:rPr>
        <w:t>Neuf recommandations</w:t>
      </w:r>
      <w:r w:rsidR="008947AE">
        <w:rPr>
          <w:lang w:val="fr-FR"/>
        </w:rPr>
        <w:t xml:space="preserve"> proposées ici </w:t>
      </w:r>
      <w:r w:rsidR="008947AE" w:rsidRPr="00267119">
        <w:rPr>
          <w:lang w:val="fr-FR"/>
        </w:rPr>
        <w:t>sont</w:t>
      </w:r>
      <w:r w:rsidRPr="00267119">
        <w:rPr>
          <w:lang w:val="fr-FR"/>
        </w:rPr>
        <w:t xml:space="preserve"> organisées en trois phases successives :</w:t>
      </w:r>
    </w:p>
    <w:p w14:paraId="49D437D3" w14:textId="4AD2850B" w:rsidR="00E6427B" w:rsidRPr="00267119" w:rsidRDefault="00435B59" w:rsidP="00267BC5">
      <w:pPr>
        <w:pStyle w:val="ListParagraph"/>
        <w:numPr>
          <w:ilvl w:val="0"/>
          <w:numId w:val="3"/>
        </w:numPr>
        <w:spacing w:after="180"/>
        <w:jc w:val="both"/>
        <w:rPr>
          <w:lang w:val="fr-FR"/>
        </w:rPr>
      </w:pPr>
      <w:r w:rsidRPr="00267119">
        <w:rPr>
          <w:lang w:val="fr-FR"/>
        </w:rPr>
        <w:t>La première, de 2026 à 2027, est celle de la consolidation de l'exécution : renforcer les capacités techniques de l'Agence de coordination et publier trimestriellement les taux de décaissement ; livrer cinq lycées techniques agricoles exemplaires avec leurs unités économiques opérationnelles avant la rentrée 2027 ; et sécuriser durablement le statut des aspirants enseignants par un contrat renouvelable, l'accès aux primes du corps enseignant et une voie vers la fonction publique pour les meilleurs profils.</w:t>
      </w:r>
    </w:p>
    <w:p w14:paraId="6D6E6DB8" w14:textId="77777777" w:rsidR="00E6427B" w:rsidRPr="00267119" w:rsidRDefault="00435B59" w:rsidP="00267BC5">
      <w:pPr>
        <w:pStyle w:val="ListParagraph"/>
        <w:numPr>
          <w:ilvl w:val="0"/>
          <w:numId w:val="3"/>
        </w:numPr>
        <w:spacing w:after="180"/>
        <w:jc w:val="both"/>
        <w:rPr>
          <w:lang w:val="fr-FR"/>
        </w:rPr>
      </w:pPr>
      <w:r w:rsidRPr="00267119">
        <w:rPr>
          <w:lang w:val="fr-FR"/>
        </w:rPr>
        <w:t>La deuxième phase, de 2028 à 2030, est celle de la montée en puissance. Elle passe par l'institution d'un cycle biennal de formation continue obligatoire pour tous les enseignants — six semaines d'immersion en entreprise et un module numérique. Elle suppose également le déploiement effectif du financement basé sur les performances, avec des indicateurs publiés sur un portail national. L'extension du Certificat de Qualification aux Métiers à toutes les filières artisanales non encore couvertes, assortie d'un</w:t>
      </w:r>
      <w:r w:rsidRPr="00267119">
        <w:rPr>
          <w:lang w:val="fr-FR"/>
        </w:rPr>
        <w:t>e passerelle vers les lycées techniques professionnels, achèvera la formalisation de l'apprentissage. Des liens formels entre Sèmè City et les lycées techniques — stages pédagogiques, projets communs apprenants-startups — feront enfin ruisseler l'innovation sur l'ensemble du territoire.</w:t>
      </w:r>
    </w:p>
    <w:p w14:paraId="40742467" w14:textId="77777777" w:rsidR="00E6427B" w:rsidRPr="00267119" w:rsidRDefault="00435B59" w:rsidP="00267BC5">
      <w:pPr>
        <w:pStyle w:val="ListParagraph"/>
        <w:numPr>
          <w:ilvl w:val="0"/>
          <w:numId w:val="3"/>
        </w:numPr>
        <w:spacing w:after="180"/>
        <w:jc w:val="both"/>
        <w:rPr>
          <w:lang w:val="fr-FR"/>
        </w:rPr>
      </w:pPr>
      <w:r w:rsidRPr="00267119">
        <w:rPr>
          <w:lang w:val="fr-FR"/>
        </w:rPr>
        <w:t>La troisième phase, de 2031 à 2033, vise le rayonnement régional. Une campagne nationale de revalorisation — Prix de l'Excellence Technique, émission hebdomadaire sur l'ORTB, visites techniques obligatoires en classe de quatrième — doit modifier progressivement les représentations sociales. En parallèle, l'alignement des certifications béninoises sur le Cadre de Qualifications de la CEDEAO et des accords de reconnaissance mutuelle avec les pays voisins positionneront le Bénin comme un exportateur reconnu de</w:t>
      </w:r>
      <w:r w:rsidRPr="00267119">
        <w:rPr>
          <w:lang w:val="fr-FR"/>
        </w:rPr>
        <w:t xml:space="preserve"> compétences techniques à l'échelle de l'Afrique de l'Ouest.</w:t>
      </w:r>
    </w:p>
    <w:p w14:paraId="42A5674C" w14:textId="77777777" w:rsidR="00E6427B" w:rsidRPr="00267119" w:rsidRDefault="00E6427B">
      <w:pPr>
        <w:rPr>
          <w:lang w:val="fr-FR"/>
        </w:rPr>
      </w:pPr>
    </w:p>
    <w:p w14:paraId="5E78AD51" w14:textId="77777777" w:rsidR="00E6427B" w:rsidRPr="00453BDD" w:rsidRDefault="00435B59">
      <w:pPr>
        <w:spacing w:after="80"/>
        <w:jc w:val="both"/>
        <w:rPr>
          <w:b/>
          <w:bCs/>
          <w:i/>
          <w:iCs/>
          <w:sz w:val="20"/>
          <w:szCs w:val="20"/>
          <w:lang w:val="fr-FR"/>
        </w:rPr>
      </w:pPr>
      <w:r w:rsidRPr="00453BDD">
        <w:rPr>
          <w:b/>
          <w:bCs/>
          <w:i/>
          <w:iCs/>
          <w:sz w:val="20"/>
          <w:szCs w:val="20"/>
          <w:lang w:val="fr-FR"/>
        </w:rPr>
        <w:t>Tableau 2 — Synthèse des neuf recommandations 2026–2033</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0"/>
        <w:gridCol w:w="1700"/>
        <w:gridCol w:w="1960"/>
      </w:tblGrid>
      <w:tr w:rsidR="00267119" w:rsidRPr="00267119" w14:paraId="0B52C893" w14:textId="77777777" w:rsidTr="00267119">
        <w:trPr>
          <w:trHeight w:val="23"/>
          <w:tblHeader/>
        </w:trPr>
        <w:tc>
          <w:tcPr>
            <w:tcW w:w="56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65" w:type="dxa"/>
              <w:left w:w="110" w:type="dxa"/>
              <w:bottom w:w="65" w:type="dxa"/>
              <w:right w:w="110" w:type="dxa"/>
            </w:tcMar>
          </w:tcPr>
          <w:p w14:paraId="569DED0B" w14:textId="77777777" w:rsidR="00E6427B" w:rsidRPr="00267119" w:rsidRDefault="00435B59" w:rsidP="00267119">
            <w:pPr>
              <w:shd w:val="clear" w:color="auto" w:fill="FFFFFF" w:themeFill="background1"/>
            </w:pPr>
            <w:r w:rsidRPr="00267119">
              <w:rPr>
                <w:b/>
                <w:bCs/>
                <w:sz w:val="17"/>
                <w:szCs w:val="17"/>
              </w:rPr>
              <w:t>Recommandation</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65" w:type="dxa"/>
              <w:left w:w="110" w:type="dxa"/>
              <w:bottom w:w="65" w:type="dxa"/>
              <w:right w:w="110" w:type="dxa"/>
            </w:tcMar>
          </w:tcPr>
          <w:p w14:paraId="039B9910" w14:textId="77777777" w:rsidR="00E6427B" w:rsidRPr="00267119" w:rsidRDefault="00435B59" w:rsidP="00267119">
            <w:pPr>
              <w:shd w:val="clear" w:color="auto" w:fill="FFFFFF" w:themeFill="background1"/>
            </w:pPr>
            <w:r w:rsidRPr="00267119">
              <w:rPr>
                <w:b/>
                <w:bCs/>
                <w:sz w:val="17"/>
                <w:szCs w:val="17"/>
              </w:rPr>
              <w:t>Horizon</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65" w:type="dxa"/>
              <w:left w:w="110" w:type="dxa"/>
              <w:bottom w:w="65" w:type="dxa"/>
              <w:right w:w="110" w:type="dxa"/>
            </w:tcMar>
          </w:tcPr>
          <w:p w14:paraId="034BBB08" w14:textId="77777777" w:rsidR="00E6427B" w:rsidRPr="00267119" w:rsidRDefault="00435B59" w:rsidP="00267119">
            <w:pPr>
              <w:shd w:val="clear" w:color="auto" w:fill="FFFFFF" w:themeFill="background1"/>
              <w:rPr>
                <w:lang w:val="fr-FR"/>
              </w:rPr>
            </w:pPr>
            <w:r w:rsidRPr="00267119">
              <w:rPr>
                <w:b/>
                <w:bCs/>
                <w:sz w:val="17"/>
                <w:szCs w:val="17"/>
                <w:lang w:val="fr-FR"/>
              </w:rPr>
              <w:t>Priorité</w:t>
            </w:r>
          </w:p>
        </w:tc>
      </w:tr>
      <w:tr w:rsidR="00267119" w:rsidRPr="00267119" w14:paraId="03475BD2" w14:textId="77777777">
        <w:tc>
          <w:tcPr>
            <w:tcW w:w="560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10" w:type="dxa"/>
              <w:bottom w:w="65" w:type="dxa"/>
              <w:right w:w="110" w:type="dxa"/>
            </w:tcMar>
          </w:tcPr>
          <w:p w14:paraId="01E55865" w14:textId="77777777" w:rsidR="00E6427B" w:rsidRPr="00267119" w:rsidRDefault="00435B59" w:rsidP="00267119">
            <w:pPr>
              <w:shd w:val="clear" w:color="auto" w:fill="FFFFFF" w:themeFill="background1"/>
            </w:pPr>
            <w:r w:rsidRPr="00267119">
              <w:rPr>
                <w:sz w:val="17"/>
                <w:szCs w:val="17"/>
              </w:rPr>
              <w:t>1. Consolider l'exécution de l'ADET</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10" w:type="dxa"/>
              <w:bottom w:w="65" w:type="dxa"/>
              <w:right w:w="110" w:type="dxa"/>
            </w:tcMar>
          </w:tcPr>
          <w:p w14:paraId="567CCC82" w14:textId="77777777" w:rsidR="00E6427B" w:rsidRPr="00267119" w:rsidRDefault="00435B59" w:rsidP="00267119">
            <w:pPr>
              <w:shd w:val="clear" w:color="auto" w:fill="FFFFFF" w:themeFill="background1"/>
            </w:pPr>
            <w:r w:rsidRPr="00267119">
              <w:rPr>
                <w:sz w:val="17"/>
                <w:szCs w:val="17"/>
              </w:rPr>
              <w:t>2026–2027</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10" w:type="dxa"/>
              <w:bottom w:w="65" w:type="dxa"/>
              <w:right w:w="110" w:type="dxa"/>
            </w:tcMar>
          </w:tcPr>
          <w:p w14:paraId="0CBE8029" w14:textId="77777777" w:rsidR="00E6427B" w:rsidRPr="00267119" w:rsidRDefault="00435B59" w:rsidP="00267119">
            <w:pPr>
              <w:shd w:val="clear" w:color="auto" w:fill="FFFFFF" w:themeFill="background1"/>
              <w:rPr>
                <w:lang w:val="fr-FR"/>
              </w:rPr>
            </w:pPr>
            <w:r w:rsidRPr="00267119">
              <w:rPr>
                <w:sz w:val="17"/>
                <w:szCs w:val="17"/>
                <w:lang w:val="fr-FR"/>
              </w:rPr>
              <w:t>Urgente</w:t>
            </w:r>
          </w:p>
        </w:tc>
      </w:tr>
      <w:tr w:rsidR="00267119" w:rsidRPr="00267119" w14:paraId="59DAD887" w14:textId="77777777">
        <w:tc>
          <w:tcPr>
            <w:tcW w:w="5600" w:type="dxa"/>
            <w:tcBorders>
              <w:top w:val="single" w:sz="1" w:space="0" w:color="CCCCCC"/>
              <w:left w:val="single" w:sz="1" w:space="0" w:color="CCCCCC"/>
              <w:bottom w:val="single" w:sz="1" w:space="0" w:color="CCCCCC"/>
              <w:right w:val="single" w:sz="1" w:space="0" w:color="CCCCCC"/>
            </w:tcBorders>
            <w:shd w:val="clear" w:color="auto" w:fill="EEF4FB"/>
            <w:tcMar>
              <w:top w:w="65" w:type="dxa"/>
              <w:left w:w="110" w:type="dxa"/>
              <w:bottom w:w="65" w:type="dxa"/>
              <w:right w:w="110" w:type="dxa"/>
            </w:tcMar>
          </w:tcPr>
          <w:p w14:paraId="639A403C" w14:textId="77777777" w:rsidR="00E6427B" w:rsidRPr="00267119" w:rsidRDefault="00435B59" w:rsidP="00267119">
            <w:pPr>
              <w:shd w:val="clear" w:color="auto" w:fill="FFFFFF" w:themeFill="background1"/>
              <w:rPr>
                <w:lang w:val="fr-FR"/>
              </w:rPr>
            </w:pPr>
            <w:r w:rsidRPr="00267119">
              <w:rPr>
                <w:sz w:val="17"/>
                <w:szCs w:val="17"/>
                <w:lang w:val="fr-FR"/>
              </w:rPr>
              <w:t>2. Livrer 5 LTA exemplaires avec UEVP</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65" w:type="dxa"/>
              <w:left w:w="110" w:type="dxa"/>
              <w:bottom w:w="65" w:type="dxa"/>
              <w:right w:w="110" w:type="dxa"/>
            </w:tcMar>
          </w:tcPr>
          <w:p w14:paraId="2F9F1970" w14:textId="77777777" w:rsidR="00E6427B" w:rsidRPr="00267119" w:rsidRDefault="00435B59" w:rsidP="00267119">
            <w:pPr>
              <w:shd w:val="clear" w:color="auto" w:fill="FFFFFF" w:themeFill="background1"/>
            </w:pPr>
            <w:r w:rsidRPr="00267119">
              <w:rPr>
                <w:sz w:val="17"/>
                <w:szCs w:val="17"/>
              </w:rPr>
              <w:t>2026–2027</w:t>
            </w:r>
          </w:p>
        </w:tc>
        <w:tc>
          <w:tcPr>
            <w:tcW w:w="1960" w:type="dxa"/>
            <w:tcBorders>
              <w:top w:val="single" w:sz="1" w:space="0" w:color="CCCCCC"/>
              <w:left w:val="single" w:sz="1" w:space="0" w:color="CCCCCC"/>
              <w:bottom w:val="single" w:sz="1" w:space="0" w:color="CCCCCC"/>
              <w:right w:val="single" w:sz="1" w:space="0" w:color="CCCCCC"/>
            </w:tcBorders>
            <w:shd w:val="clear" w:color="auto" w:fill="EEF4FB"/>
            <w:tcMar>
              <w:top w:w="65" w:type="dxa"/>
              <w:left w:w="110" w:type="dxa"/>
              <w:bottom w:w="65" w:type="dxa"/>
              <w:right w:w="110" w:type="dxa"/>
            </w:tcMar>
          </w:tcPr>
          <w:p w14:paraId="059FADCA" w14:textId="77777777" w:rsidR="00E6427B" w:rsidRPr="00267119" w:rsidRDefault="00435B59" w:rsidP="00267119">
            <w:pPr>
              <w:shd w:val="clear" w:color="auto" w:fill="FFFFFF" w:themeFill="background1"/>
              <w:rPr>
                <w:lang w:val="fr-FR"/>
              </w:rPr>
            </w:pPr>
            <w:r w:rsidRPr="00267119">
              <w:rPr>
                <w:sz w:val="17"/>
                <w:szCs w:val="17"/>
                <w:lang w:val="fr-FR"/>
              </w:rPr>
              <w:t>Urgente</w:t>
            </w:r>
          </w:p>
        </w:tc>
      </w:tr>
      <w:tr w:rsidR="00267119" w:rsidRPr="00267119" w14:paraId="1DD40726" w14:textId="77777777">
        <w:tc>
          <w:tcPr>
            <w:tcW w:w="560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10" w:type="dxa"/>
              <w:bottom w:w="65" w:type="dxa"/>
              <w:right w:w="110" w:type="dxa"/>
            </w:tcMar>
          </w:tcPr>
          <w:p w14:paraId="3BB18B16" w14:textId="77777777" w:rsidR="00E6427B" w:rsidRPr="00267119" w:rsidRDefault="00435B59" w:rsidP="00267119">
            <w:pPr>
              <w:shd w:val="clear" w:color="auto" w:fill="FFFFFF" w:themeFill="background1"/>
              <w:rPr>
                <w:lang w:val="fr-FR"/>
              </w:rPr>
            </w:pPr>
            <w:r w:rsidRPr="00267119">
              <w:rPr>
                <w:sz w:val="17"/>
                <w:szCs w:val="17"/>
                <w:lang w:val="fr-FR"/>
              </w:rPr>
              <w:t>3. Sécuriser la carrière des AME</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10" w:type="dxa"/>
              <w:bottom w:w="65" w:type="dxa"/>
              <w:right w:w="110" w:type="dxa"/>
            </w:tcMar>
          </w:tcPr>
          <w:p w14:paraId="25318EE1" w14:textId="77777777" w:rsidR="00E6427B" w:rsidRPr="00267119" w:rsidRDefault="00435B59" w:rsidP="00267119">
            <w:pPr>
              <w:shd w:val="clear" w:color="auto" w:fill="FFFFFF" w:themeFill="background1"/>
            </w:pPr>
            <w:r w:rsidRPr="00267119">
              <w:rPr>
                <w:sz w:val="17"/>
                <w:szCs w:val="17"/>
              </w:rPr>
              <w:t>2026–2027</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10" w:type="dxa"/>
              <w:bottom w:w="65" w:type="dxa"/>
              <w:right w:w="110" w:type="dxa"/>
            </w:tcMar>
          </w:tcPr>
          <w:p w14:paraId="794316F1" w14:textId="77777777" w:rsidR="00E6427B" w:rsidRPr="00267119" w:rsidRDefault="00435B59" w:rsidP="00267119">
            <w:pPr>
              <w:shd w:val="clear" w:color="auto" w:fill="FFFFFF" w:themeFill="background1"/>
              <w:rPr>
                <w:lang w:val="fr-FR"/>
              </w:rPr>
            </w:pPr>
            <w:r w:rsidRPr="00267119">
              <w:rPr>
                <w:sz w:val="17"/>
                <w:szCs w:val="17"/>
                <w:lang w:val="fr-FR"/>
              </w:rPr>
              <w:t>Urgente</w:t>
            </w:r>
          </w:p>
        </w:tc>
      </w:tr>
      <w:tr w:rsidR="00267119" w:rsidRPr="00267119" w14:paraId="238243CB" w14:textId="77777777">
        <w:tc>
          <w:tcPr>
            <w:tcW w:w="5600" w:type="dxa"/>
            <w:tcBorders>
              <w:top w:val="single" w:sz="1" w:space="0" w:color="CCCCCC"/>
              <w:left w:val="single" w:sz="1" w:space="0" w:color="CCCCCC"/>
              <w:bottom w:val="single" w:sz="1" w:space="0" w:color="CCCCCC"/>
              <w:right w:val="single" w:sz="1" w:space="0" w:color="CCCCCC"/>
            </w:tcBorders>
            <w:shd w:val="clear" w:color="auto" w:fill="EEF4FB"/>
            <w:tcMar>
              <w:top w:w="65" w:type="dxa"/>
              <w:left w:w="110" w:type="dxa"/>
              <w:bottom w:w="65" w:type="dxa"/>
              <w:right w:w="110" w:type="dxa"/>
            </w:tcMar>
          </w:tcPr>
          <w:p w14:paraId="6A231059" w14:textId="77777777" w:rsidR="00E6427B" w:rsidRPr="00267119" w:rsidRDefault="00435B59" w:rsidP="00267119">
            <w:pPr>
              <w:shd w:val="clear" w:color="auto" w:fill="FFFFFF" w:themeFill="background1"/>
              <w:rPr>
                <w:lang w:val="fr-FR"/>
              </w:rPr>
            </w:pPr>
            <w:r w:rsidRPr="00267119">
              <w:rPr>
                <w:sz w:val="17"/>
                <w:szCs w:val="17"/>
                <w:lang w:val="fr-FR"/>
              </w:rPr>
              <w:t>4. Formation continue biennale des enseignants</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65" w:type="dxa"/>
              <w:left w:w="110" w:type="dxa"/>
              <w:bottom w:w="65" w:type="dxa"/>
              <w:right w:w="110" w:type="dxa"/>
            </w:tcMar>
          </w:tcPr>
          <w:p w14:paraId="5E37147A" w14:textId="77777777" w:rsidR="00E6427B" w:rsidRPr="00267119" w:rsidRDefault="00435B59" w:rsidP="00267119">
            <w:pPr>
              <w:shd w:val="clear" w:color="auto" w:fill="FFFFFF" w:themeFill="background1"/>
            </w:pPr>
            <w:r w:rsidRPr="00267119">
              <w:rPr>
                <w:sz w:val="17"/>
                <w:szCs w:val="17"/>
              </w:rPr>
              <w:t>2028–2030</w:t>
            </w:r>
          </w:p>
        </w:tc>
        <w:tc>
          <w:tcPr>
            <w:tcW w:w="1960" w:type="dxa"/>
            <w:tcBorders>
              <w:top w:val="single" w:sz="1" w:space="0" w:color="CCCCCC"/>
              <w:left w:val="single" w:sz="1" w:space="0" w:color="CCCCCC"/>
              <w:bottom w:val="single" w:sz="1" w:space="0" w:color="CCCCCC"/>
              <w:right w:val="single" w:sz="1" w:space="0" w:color="CCCCCC"/>
            </w:tcBorders>
            <w:shd w:val="clear" w:color="auto" w:fill="EEF4FB"/>
            <w:tcMar>
              <w:top w:w="65" w:type="dxa"/>
              <w:left w:w="110" w:type="dxa"/>
              <w:bottom w:w="65" w:type="dxa"/>
              <w:right w:w="110" w:type="dxa"/>
            </w:tcMar>
          </w:tcPr>
          <w:p w14:paraId="0219669D" w14:textId="77777777" w:rsidR="00E6427B" w:rsidRPr="00267119" w:rsidRDefault="00435B59" w:rsidP="00267119">
            <w:pPr>
              <w:shd w:val="clear" w:color="auto" w:fill="FFFFFF" w:themeFill="background1"/>
              <w:rPr>
                <w:lang w:val="fr-FR"/>
              </w:rPr>
            </w:pPr>
            <w:r w:rsidRPr="00267119">
              <w:rPr>
                <w:sz w:val="17"/>
                <w:szCs w:val="17"/>
                <w:lang w:val="fr-FR"/>
              </w:rPr>
              <w:t>Haute</w:t>
            </w:r>
          </w:p>
        </w:tc>
      </w:tr>
      <w:tr w:rsidR="00267119" w:rsidRPr="00267119" w14:paraId="3F9A32D6" w14:textId="77777777">
        <w:tc>
          <w:tcPr>
            <w:tcW w:w="560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10" w:type="dxa"/>
              <w:bottom w:w="65" w:type="dxa"/>
              <w:right w:w="110" w:type="dxa"/>
            </w:tcMar>
          </w:tcPr>
          <w:p w14:paraId="576F8369" w14:textId="77777777" w:rsidR="00E6427B" w:rsidRPr="00267119" w:rsidRDefault="00435B59" w:rsidP="00267119">
            <w:pPr>
              <w:shd w:val="clear" w:color="auto" w:fill="FFFFFF" w:themeFill="background1"/>
              <w:rPr>
                <w:lang w:val="fr-FR"/>
              </w:rPr>
            </w:pPr>
            <w:r w:rsidRPr="00267119">
              <w:rPr>
                <w:sz w:val="17"/>
                <w:szCs w:val="17"/>
                <w:lang w:val="fr-FR"/>
              </w:rPr>
              <w:t>5. Déployer le financement basé sur les résultats</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10" w:type="dxa"/>
              <w:bottom w:w="65" w:type="dxa"/>
              <w:right w:w="110" w:type="dxa"/>
            </w:tcMar>
          </w:tcPr>
          <w:p w14:paraId="6C113A9E" w14:textId="77777777" w:rsidR="00E6427B" w:rsidRPr="00267119" w:rsidRDefault="00435B59" w:rsidP="00267119">
            <w:pPr>
              <w:shd w:val="clear" w:color="auto" w:fill="FFFFFF" w:themeFill="background1"/>
            </w:pPr>
            <w:r w:rsidRPr="00267119">
              <w:rPr>
                <w:sz w:val="17"/>
                <w:szCs w:val="17"/>
              </w:rPr>
              <w:t>2028–2030</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10" w:type="dxa"/>
              <w:bottom w:w="65" w:type="dxa"/>
              <w:right w:w="110" w:type="dxa"/>
            </w:tcMar>
          </w:tcPr>
          <w:p w14:paraId="6C02B9AE" w14:textId="77777777" w:rsidR="00E6427B" w:rsidRPr="00267119" w:rsidRDefault="00435B59" w:rsidP="00267119">
            <w:pPr>
              <w:shd w:val="clear" w:color="auto" w:fill="FFFFFF" w:themeFill="background1"/>
              <w:rPr>
                <w:lang w:val="fr-FR"/>
              </w:rPr>
            </w:pPr>
            <w:r w:rsidRPr="00267119">
              <w:rPr>
                <w:sz w:val="17"/>
                <w:szCs w:val="17"/>
                <w:lang w:val="fr-FR"/>
              </w:rPr>
              <w:t>Haute</w:t>
            </w:r>
          </w:p>
        </w:tc>
      </w:tr>
      <w:tr w:rsidR="00267119" w:rsidRPr="00267119" w14:paraId="6106192B" w14:textId="77777777">
        <w:tc>
          <w:tcPr>
            <w:tcW w:w="5600" w:type="dxa"/>
            <w:tcBorders>
              <w:top w:val="single" w:sz="1" w:space="0" w:color="CCCCCC"/>
              <w:left w:val="single" w:sz="1" w:space="0" w:color="CCCCCC"/>
              <w:bottom w:val="single" w:sz="1" w:space="0" w:color="CCCCCC"/>
              <w:right w:val="single" w:sz="1" w:space="0" w:color="CCCCCC"/>
            </w:tcBorders>
            <w:shd w:val="clear" w:color="auto" w:fill="EEF4FB"/>
            <w:tcMar>
              <w:top w:w="65" w:type="dxa"/>
              <w:left w:w="110" w:type="dxa"/>
              <w:bottom w:w="65" w:type="dxa"/>
              <w:right w:w="110" w:type="dxa"/>
            </w:tcMar>
          </w:tcPr>
          <w:p w14:paraId="199D0181" w14:textId="77777777" w:rsidR="00E6427B" w:rsidRPr="00267119" w:rsidRDefault="00435B59" w:rsidP="00267119">
            <w:pPr>
              <w:shd w:val="clear" w:color="auto" w:fill="FFFFFF" w:themeFill="background1"/>
              <w:rPr>
                <w:lang w:val="fr-FR"/>
              </w:rPr>
            </w:pPr>
            <w:r w:rsidRPr="00267119">
              <w:rPr>
                <w:sz w:val="17"/>
                <w:szCs w:val="17"/>
                <w:lang w:val="fr-FR"/>
              </w:rPr>
              <w:t>6. Généraliser le CQM + passerelle LTP</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65" w:type="dxa"/>
              <w:left w:w="110" w:type="dxa"/>
              <w:bottom w:w="65" w:type="dxa"/>
              <w:right w:w="110" w:type="dxa"/>
            </w:tcMar>
          </w:tcPr>
          <w:p w14:paraId="374F6976" w14:textId="77777777" w:rsidR="00E6427B" w:rsidRPr="00267119" w:rsidRDefault="00435B59" w:rsidP="00267119">
            <w:pPr>
              <w:shd w:val="clear" w:color="auto" w:fill="FFFFFF" w:themeFill="background1"/>
            </w:pPr>
            <w:r w:rsidRPr="00267119">
              <w:rPr>
                <w:sz w:val="17"/>
                <w:szCs w:val="17"/>
              </w:rPr>
              <w:t>2028–2030</w:t>
            </w:r>
          </w:p>
        </w:tc>
        <w:tc>
          <w:tcPr>
            <w:tcW w:w="1960" w:type="dxa"/>
            <w:tcBorders>
              <w:top w:val="single" w:sz="1" w:space="0" w:color="CCCCCC"/>
              <w:left w:val="single" w:sz="1" w:space="0" w:color="CCCCCC"/>
              <w:bottom w:val="single" w:sz="1" w:space="0" w:color="CCCCCC"/>
              <w:right w:val="single" w:sz="1" w:space="0" w:color="CCCCCC"/>
            </w:tcBorders>
            <w:shd w:val="clear" w:color="auto" w:fill="EEF4FB"/>
            <w:tcMar>
              <w:top w:w="65" w:type="dxa"/>
              <w:left w:w="110" w:type="dxa"/>
              <w:bottom w:w="65" w:type="dxa"/>
              <w:right w:w="110" w:type="dxa"/>
            </w:tcMar>
          </w:tcPr>
          <w:p w14:paraId="7C8DA529" w14:textId="77777777" w:rsidR="00E6427B" w:rsidRPr="00267119" w:rsidRDefault="00435B59" w:rsidP="00267119">
            <w:pPr>
              <w:shd w:val="clear" w:color="auto" w:fill="FFFFFF" w:themeFill="background1"/>
              <w:rPr>
                <w:lang w:val="fr-FR"/>
              </w:rPr>
            </w:pPr>
            <w:r w:rsidRPr="00267119">
              <w:rPr>
                <w:sz w:val="17"/>
                <w:szCs w:val="17"/>
                <w:lang w:val="fr-FR"/>
              </w:rPr>
              <w:t>Haute</w:t>
            </w:r>
          </w:p>
        </w:tc>
      </w:tr>
      <w:tr w:rsidR="00267119" w:rsidRPr="00267119" w14:paraId="0092E63E" w14:textId="77777777">
        <w:tc>
          <w:tcPr>
            <w:tcW w:w="560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10" w:type="dxa"/>
              <w:bottom w:w="65" w:type="dxa"/>
              <w:right w:w="110" w:type="dxa"/>
            </w:tcMar>
          </w:tcPr>
          <w:p w14:paraId="42006974" w14:textId="77777777" w:rsidR="00E6427B" w:rsidRPr="00267119" w:rsidRDefault="00435B59" w:rsidP="00267119">
            <w:pPr>
              <w:shd w:val="clear" w:color="auto" w:fill="FFFFFF" w:themeFill="background1"/>
              <w:rPr>
                <w:lang w:val="fr-FR"/>
              </w:rPr>
            </w:pPr>
            <w:r w:rsidRPr="00267119">
              <w:rPr>
                <w:sz w:val="17"/>
                <w:szCs w:val="17"/>
                <w:lang w:val="fr-FR"/>
              </w:rPr>
              <w:t>7. Relier Sèmè City aux lycées techniques</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10" w:type="dxa"/>
              <w:bottom w:w="65" w:type="dxa"/>
              <w:right w:w="110" w:type="dxa"/>
            </w:tcMar>
          </w:tcPr>
          <w:p w14:paraId="24DA5106" w14:textId="77777777" w:rsidR="00E6427B" w:rsidRPr="00267119" w:rsidRDefault="00435B59" w:rsidP="00267119">
            <w:pPr>
              <w:shd w:val="clear" w:color="auto" w:fill="FFFFFF" w:themeFill="background1"/>
            </w:pPr>
            <w:r w:rsidRPr="00267119">
              <w:rPr>
                <w:sz w:val="17"/>
                <w:szCs w:val="17"/>
              </w:rPr>
              <w:t>2028–2030</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10" w:type="dxa"/>
              <w:bottom w:w="65" w:type="dxa"/>
              <w:right w:w="110" w:type="dxa"/>
            </w:tcMar>
          </w:tcPr>
          <w:p w14:paraId="66630A66" w14:textId="77777777" w:rsidR="00E6427B" w:rsidRPr="00267119" w:rsidRDefault="00435B59" w:rsidP="00267119">
            <w:pPr>
              <w:shd w:val="clear" w:color="auto" w:fill="FFFFFF" w:themeFill="background1"/>
              <w:rPr>
                <w:lang w:val="fr-FR"/>
              </w:rPr>
            </w:pPr>
            <w:r w:rsidRPr="00267119">
              <w:rPr>
                <w:sz w:val="17"/>
                <w:szCs w:val="17"/>
                <w:lang w:val="fr-FR"/>
              </w:rPr>
              <w:t>Haute</w:t>
            </w:r>
          </w:p>
        </w:tc>
      </w:tr>
      <w:tr w:rsidR="00267119" w:rsidRPr="00267119" w14:paraId="33CECC02" w14:textId="77777777">
        <w:tc>
          <w:tcPr>
            <w:tcW w:w="5600" w:type="dxa"/>
            <w:tcBorders>
              <w:top w:val="single" w:sz="1" w:space="0" w:color="CCCCCC"/>
              <w:left w:val="single" w:sz="1" w:space="0" w:color="CCCCCC"/>
              <w:bottom w:val="single" w:sz="1" w:space="0" w:color="CCCCCC"/>
              <w:right w:val="single" w:sz="1" w:space="0" w:color="CCCCCC"/>
            </w:tcBorders>
            <w:shd w:val="clear" w:color="auto" w:fill="EEF4FB"/>
            <w:tcMar>
              <w:top w:w="65" w:type="dxa"/>
              <w:left w:w="110" w:type="dxa"/>
              <w:bottom w:w="65" w:type="dxa"/>
              <w:right w:w="110" w:type="dxa"/>
            </w:tcMar>
          </w:tcPr>
          <w:p w14:paraId="1E977D51" w14:textId="77777777" w:rsidR="00E6427B" w:rsidRPr="00267119" w:rsidRDefault="00435B59" w:rsidP="00267119">
            <w:pPr>
              <w:shd w:val="clear" w:color="auto" w:fill="FFFFFF" w:themeFill="background1"/>
            </w:pPr>
            <w:r w:rsidRPr="00267119">
              <w:rPr>
                <w:sz w:val="17"/>
                <w:szCs w:val="17"/>
              </w:rPr>
              <w:t>8. Campagne nationale de revalorisation</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65" w:type="dxa"/>
              <w:left w:w="110" w:type="dxa"/>
              <w:bottom w:w="65" w:type="dxa"/>
              <w:right w:w="110" w:type="dxa"/>
            </w:tcMar>
          </w:tcPr>
          <w:p w14:paraId="34AF4706" w14:textId="77777777" w:rsidR="00E6427B" w:rsidRPr="00267119" w:rsidRDefault="00435B59" w:rsidP="00267119">
            <w:pPr>
              <w:shd w:val="clear" w:color="auto" w:fill="FFFFFF" w:themeFill="background1"/>
            </w:pPr>
            <w:r w:rsidRPr="00267119">
              <w:rPr>
                <w:sz w:val="17"/>
                <w:szCs w:val="17"/>
              </w:rPr>
              <w:t>2026–2033</w:t>
            </w:r>
          </w:p>
        </w:tc>
        <w:tc>
          <w:tcPr>
            <w:tcW w:w="1960" w:type="dxa"/>
            <w:tcBorders>
              <w:top w:val="single" w:sz="1" w:space="0" w:color="CCCCCC"/>
              <w:left w:val="single" w:sz="1" w:space="0" w:color="CCCCCC"/>
              <w:bottom w:val="single" w:sz="1" w:space="0" w:color="CCCCCC"/>
              <w:right w:val="single" w:sz="1" w:space="0" w:color="CCCCCC"/>
            </w:tcBorders>
            <w:shd w:val="clear" w:color="auto" w:fill="EEF4FB"/>
            <w:tcMar>
              <w:top w:w="65" w:type="dxa"/>
              <w:left w:w="110" w:type="dxa"/>
              <w:bottom w:w="65" w:type="dxa"/>
              <w:right w:w="110" w:type="dxa"/>
            </w:tcMar>
          </w:tcPr>
          <w:p w14:paraId="434471CE" w14:textId="77777777" w:rsidR="00E6427B" w:rsidRPr="00267119" w:rsidRDefault="00435B59" w:rsidP="00267119">
            <w:pPr>
              <w:shd w:val="clear" w:color="auto" w:fill="FFFFFF" w:themeFill="background1"/>
              <w:rPr>
                <w:lang w:val="fr-FR"/>
              </w:rPr>
            </w:pPr>
            <w:r w:rsidRPr="00267119">
              <w:rPr>
                <w:sz w:val="17"/>
                <w:szCs w:val="17"/>
                <w:lang w:val="fr-FR"/>
              </w:rPr>
              <w:t>Haute</w:t>
            </w:r>
          </w:p>
        </w:tc>
      </w:tr>
      <w:tr w:rsidR="00267119" w:rsidRPr="00267119" w14:paraId="503D3AAA" w14:textId="77777777">
        <w:tc>
          <w:tcPr>
            <w:tcW w:w="560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10" w:type="dxa"/>
              <w:bottom w:w="65" w:type="dxa"/>
              <w:right w:w="110" w:type="dxa"/>
            </w:tcMar>
          </w:tcPr>
          <w:p w14:paraId="1F75348E" w14:textId="77777777" w:rsidR="00E6427B" w:rsidRPr="00267119" w:rsidRDefault="00435B59" w:rsidP="00267119">
            <w:pPr>
              <w:shd w:val="clear" w:color="auto" w:fill="FFFFFF" w:themeFill="background1"/>
            </w:pPr>
            <w:r w:rsidRPr="00267119">
              <w:rPr>
                <w:sz w:val="17"/>
                <w:szCs w:val="17"/>
              </w:rPr>
              <w:t xml:space="preserve">9. </w:t>
            </w:r>
            <w:r w:rsidRPr="00267119">
              <w:rPr>
                <w:sz w:val="17"/>
                <w:szCs w:val="17"/>
              </w:rPr>
              <w:t>Harmoniser les certifications CEDEAO</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10" w:type="dxa"/>
              <w:bottom w:w="65" w:type="dxa"/>
              <w:right w:w="110" w:type="dxa"/>
            </w:tcMar>
          </w:tcPr>
          <w:p w14:paraId="6E6DFE87" w14:textId="77777777" w:rsidR="00E6427B" w:rsidRPr="00267119" w:rsidRDefault="00435B59" w:rsidP="00267119">
            <w:pPr>
              <w:shd w:val="clear" w:color="auto" w:fill="FFFFFF" w:themeFill="background1"/>
            </w:pPr>
            <w:r w:rsidRPr="00267119">
              <w:rPr>
                <w:sz w:val="17"/>
                <w:szCs w:val="17"/>
              </w:rPr>
              <w:t>2031–2033</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10" w:type="dxa"/>
              <w:bottom w:w="65" w:type="dxa"/>
              <w:right w:w="110" w:type="dxa"/>
            </w:tcMar>
          </w:tcPr>
          <w:p w14:paraId="0CCA842C" w14:textId="77777777" w:rsidR="00E6427B" w:rsidRPr="00267119" w:rsidRDefault="00435B59" w:rsidP="00267119">
            <w:pPr>
              <w:shd w:val="clear" w:color="auto" w:fill="FFFFFF" w:themeFill="background1"/>
              <w:rPr>
                <w:lang w:val="fr-FR"/>
              </w:rPr>
            </w:pPr>
            <w:r w:rsidRPr="00267119">
              <w:rPr>
                <w:sz w:val="17"/>
                <w:szCs w:val="17"/>
                <w:lang w:val="fr-FR"/>
              </w:rPr>
              <w:t>Moyenne</w:t>
            </w:r>
          </w:p>
        </w:tc>
      </w:tr>
    </w:tbl>
    <w:p w14:paraId="58006BD1" w14:textId="77777777" w:rsidR="00E6427B" w:rsidRPr="00267119" w:rsidRDefault="00E6427B" w:rsidP="00267119">
      <w:pPr>
        <w:shd w:val="clear" w:color="auto" w:fill="FFFFFF" w:themeFill="background1"/>
      </w:pPr>
    </w:p>
    <w:p w14:paraId="44219BEE" w14:textId="4EE1CFB1" w:rsidR="00E6427B" w:rsidRPr="00267119" w:rsidRDefault="003416F4">
      <w:pPr>
        <w:spacing w:after="180"/>
        <w:jc w:val="both"/>
        <w:rPr>
          <w:lang w:val="fr-FR"/>
        </w:rPr>
      </w:pPr>
      <w:r w:rsidRPr="00267119">
        <w:rPr>
          <w:lang w:val="fr-FR"/>
        </w:rPr>
        <w:t xml:space="preserve"> En somme, on peut noter qu’en dix ans, le Bénin a posé les fondations d'un ETFP renouvelé : une agence nationale dédiée, une loi-cadre fondatrice, un hub d'innovation tourné vers les métiers de demain, un plan de 54 établissements, 662 enseignants en formation spécialisée et 24 professeurs formés à l'étranger</w:t>
      </w:r>
      <w:r w:rsidR="00267BC5" w:rsidRPr="00267119">
        <w:rPr>
          <w:lang w:val="fr-FR"/>
        </w:rPr>
        <w:t xml:space="preserve">. </w:t>
      </w:r>
      <w:r w:rsidR="006B0658" w:rsidRPr="00267119">
        <w:rPr>
          <w:lang w:val="fr-FR"/>
        </w:rPr>
        <w:t>Tout ceci</w:t>
      </w:r>
      <w:r w:rsidR="00267BC5" w:rsidRPr="00267119">
        <w:rPr>
          <w:lang w:val="fr-FR"/>
        </w:rPr>
        <w:t xml:space="preserve"> est fait </w:t>
      </w:r>
      <w:r w:rsidRPr="00267119">
        <w:rPr>
          <w:lang w:val="fr-FR"/>
        </w:rPr>
        <w:t>par une volonté politique soutenue et des investissements considérables consentis au bénéfice de la jeunesse béninoise. Les chantiers qui restent ouverts ne remettent pas en cause cette direction ; ils en confirment l'ampleur et appellent à poursuivre avec la même détermination. De 2026 à 2033, la feuille de route proposée ici poursuit un objectif unique : que chaque jeune Béninois trouve, dans une filière technique de qualité, le chemin d'une insertion professionnelle digne et durable.</w:t>
      </w:r>
    </w:p>
    <w:p w14:paraId="5867C06B" w14:textId="6CBE4C30" w:rsidR="00E6427B" w:rsidRPr="00267119" w:rsidRDefault="006B0658">
      <w:pPr>
        <w:spacing w:before="180" w:after="180"/>
        <w:jc w:val="center"/>
        <w:rPr>
          <w:lang w:val="fr-FR"/>
        </w:rPr>
      </w:pPr>
      <w:r w:rsidRPr="00267119">
        <w:rPr>
          <w:rFonts w:ascii="Times New Roman" w:eastAsia="Georgia" w:hAnsi="Times New Roman" w:cs="Times New Roman"/>
          <w:b/>
          <w:bCs/>
          <w:sz w:val="26"/>
          <w:szCs w:val="26"/>
          <w:lang w:val="fr-FR"/>
        </w:rPr>
        <w:t xml:space="preserve">« </w:t>
      </w:r>
      <w:r w:rsidRPr="00267119">
        <w:rPr>
          <w:rFonts w:ascii="Times New Roman" w:eastAsia="Georgia" w:hAnsi="Times New Roman" w:cs="Times New Roman"/>
          <w:sz w:val="24"/>
          <w:szCs w:val="24"/>
          <w:lang w:val="fr-FR"/>
        </w:rPr>
        <w:t>Le</w:t>
      </w:r>
      <w:r w:rsidRPr="00267119">
        <w:rPr>
          <w:rFonts w:ascii="Times New Roman" w:hAnsi="Times New Roman" w:cs="Times New Roman"/>
          <w:i/>
          <w:iCs/>
          <w:sz w:val="24"/>
          <w:szCs w:val="24"/>
          <w:lang w:val="fr-FR"/>
        </w:rPr>
        <w:t xml:space="preserve"> </w:t>
      </w:r>
      <w:r w:rsidRPr="00267119">
        <w:rPr>
          <w:rFonts w:ascii="Times New Roman" w:hAnsi="Times New Roman" w:cs="Times New Roman"/>
          <w:i/>
          <w:iCs/>
          <w:lang w:val="fr-FR"/>
        </w:rPr>
        <w:t>Bénin</w:t>
      </w:r>
      <w:r w:rsidRPr="00267119">
        <w:rPr>
          <w:i/>
          <w:iCs/>
          <w:lang w:val="fr-FR"/>
        </w:rPr>
        <w:t xml:space="preserve"> ne manque pas de jeunes. Il manque encore, mais de moins en moins, de jeunes formés aux bons métiers, dans de bonnes conditions, par de bons formateurs. Ce chantier, la décennie écoulée l'a ouvert. Celle de 2026 à 2033 doit </w:t>
      </w:r>
      <w:r w:rsidR="003416F4" w:rsidRPr="00267119">
        <w:rPr>
          <w:i/>
          <w:iCs/>
          <w:lang w:val="fr-FR"/>
        </w:rPr>
        <w:t>l’achever. »</w:t>
      </w:r>
    </w:p>
    <w:sectPr w:rsidR="00E6427B" w:rsidRPr="00267119">
      <w:footerReference w:type="default" r:id="rId7"/>
      <w:pgSz w:w="11906" w:h="16838"/>
      <w:pgMar w:top="900" w:right="1000" w:bottom="10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6603A" w14:textId="77777777" w:rsidR="00634FF4" w:rsidRDefault="00634FF4">
      <w:r>
        <w:separator/>
      </w:r>
    </w:p>
  </w:endnote>
  <w:endnote w:type="continuationSeparator" w:id="0">
    <w:p w14:paraId="2B0F85E0" w14:textId="77777777" w:rsidR="00634FF4" w:rsidRDefault="0063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AC64" w14:textId="77777777" w:rsidR="00E6427B" w:rsidRDefault="00435B59">
    <w:pPr>
      <w:pBdr>
        <w:top w:val="single" w:sz="4" w:space="2" w:color="DDDDDD"/>
      </w:pBdr>
      <w:jc w:val="center"/>
    </w:pPr>
    <w:r>
      <w:rPr>
        <w:color w:val="AAAAAA"/>
        <w:sz w:val="17"/>
        <w:szCs w:val="17"/>
      </w:rPr>
      <w:t xml:space="preserve">Page </w:t>
    </w:r>
    <w:r>
      <w:rPr>
        <w:color w:val="AAAAAA"/>
        <w:sz w:val="17"/>
        <w:szCs w:val="17"/>
      </w:rPr>
      <w:fldChar w:fldCharType="begin"/>
    </w:r>
    <w:r>
      <w:rPr>
        <w:color w:val="AAAAAA"/>
        <w:sz w:val="17"/>
        <w:szCs w:val="17"/>
      </w:rPr>
      <w:instrText>PAGE</w:instrText>
    </w:r>
    <w:r>
      <w:rPr>
        <w:color w:val="AAAAAA"/>
        <w:sz w:val="17"/>
        <w:szCs w:val="17"/>
      </w:rPr>
      <w:fldChar w:fldCharType="separate"/>
    </w:r>
    <w:r w:rsidR="003416F4">
      <w:rPr>
        <w:noProof/>
        <w:color w:val="AAAAAA"/>
        <w:sz w:val="17"/>
        <w:szCs w:val="17"/>
      </w:rPr>
      <w:t>1</w:t>
    </w:r>
    <w:r>
      <w:rPr>
        <w:color w:val="AAAAAA"/>
        <w:sz w:val="17"/>
        <w:szCs w:val="17"/>
      </w:rPr>
      <w:fldChar w:fldCharType="end"/>
    </w:r>
    <w:r>
      <w:rPr>
        <w:color w:val="AAAAAA"/>
        <w:sz w:val="17"/>
        <w:szCs w:val="17"/>
      </w:rPr>
      <w:t xml:space="preserve"> / </w:t>
    </w:r>
    <w:r>
      <w:rPr>
        <w:color w:val="AAAAAA"/>
        <w:sz w:val="17"/>
        <w:szCs w:val="17"/>
      </w:rPr>
      <w:fldChar w:fldCharType="begin"/>
    </w:r>
    <w:r>
      <w:rPr>
        <w:color w:val="AAAAAA"/>
        <w:sz w:val="17"/>
        <w:szCs w:val="17"/>
      </w:rPr>
      <w:instrText>NUMPAGES</w:instrText>
    </w:r>
    <w:r>
      <w:rPr>
        <w:color w:val="AAAAAA"/>
        <w:sz w:val="17"/>
        <w:szCs w:val="17"/>
      </w:rPr>
      <w:fldChar w:fldCharType="separate"/>
    </w:r>
    <w:r w:rsidR="003416F4">
      <w:rPr>
        <w:noProof/>
        <w:color w:val="AAAAAA"/>
        <w:sz w:val="17"/>
        <w:szCs w:val="17"/>
      </w:rPr>
      <w:t>2</w:t>
    </w:r>
    <w:r>
      <w:rPr>
        <w:color w:val="AAAAAA"/>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7E25" w14:textId="77777777" w:rsidR="00634FF4" w:rsidRDefault="00634FF4">
      <w:r>
        <w:separator/>
      </w:r>
    </w:p>
  </w:footnote>
  <w:footnote w:type="continuationSeparator" w:id="0">
    <w:p w14:paraId="48DDF46B" w14:textId="77777777" w:rsidR="00634FF4" w:rsidRDefault="00634FF4">
      <w:r>
        <w:continuationSeparator/>
      </w:r>
    </w:p>
  </w:footnote>
  <w:footnote w:id="1">
    <w:p w14:paraId="4D2F3759" w14:textId="77777777" w:rsidR="00E6427B" w:rsidRPr="003416F4" w:rsidRDefault="00435B59">
      <w:pPr>
        <w:rPr>
          <w:lang w:val="fr-FR"/>
        </w:rPr>
      </w:pPr>
      <w:r>
        <w:rPr>
          <w:rStyle w:val="FootnoteReference"/>
        </w:rPr>
        <w:footnoteRef/>
      </w:r>
      <w:r w:rsidRPr="003416F4">
        <w:rPr>
          <w:color w:val="444444"/>
          <w:sz w:val="18"/>
          <w:szCs w:val="18"/>
          <w:lang w:val="fr-FR"/>
        </w:rPr>
        <w:t>Stratégie Nationale de l'ETFP 2020–2025, adoptée en Conseil des Ministres le 11 décembre 2019.</w:t>
      </w:r>
    </w:p>
  </w:footnote>
  <w:footnote w:id="2">
    <w:p w14:paraId="276B2494" w14:textId="77777777" w:rsidR="00E6427B" w:rsidRPr="003416F4" w:rsidRDefault="00435B59">
      <w:pPr>
        <w:rPr>
          <w:lang w:val="fr-FR"/>
        </w:rPr>
      </w:pPr>
      <w:r>
        <w:rPr>
          <w:rStyle w:val="FootnoteReference"/>
        </w:rPr>
        <w:footnoteRef/>
      </w:r>
      <w:r w:rsidRPr="003416F4">
        <w:rPr>
          <w:color w:val="444444"/>
          <w:sz w:val="18"/>
          <w:szCs w:val="18"/>
          <w:lang w:val="fr-FR"/>
        </w:rPr>
        <w:t>Loi n° 2022-01 du 11 janvier 2022 portant loi-cadre sur l'ETFP. Complétée par le décret n° 2022-389 du 13 juillet 2022 sur la certification des formations par apprentissage.</w:t>
      </w:r>
    </w:p>
  </w:footnote>
  <w:footnote w:id="3">
    <w:p w14:paraId="54671409" w14:textId="77777777" w:rsidR="00E6427B" w:rsidRPr="003416F4" w:rsidRDefault="00435B59">
      <w:pPr>
        <w:rPr>
          <w:lang w:val="fr-FR"/>
        </w:rPr>
      </w:pPr>
      <w:r>
        <w:rPr>
          <w:rStyle w:val="FootnoteReference"/>
        </w:rPr>
        <w:footnoteRef/>
      </w:r>
      <w:r w:rsidRPr="003416F4">
        <w:rPr>
          <w:color w:val="444444"/>
          <w:sz w:val="18"/>
          <w:szCs w:val="18"/>
          <w:lang w:val="fr-FR"/>
        </w:rPr>
        <w:t>Décrets n° 2025-387 (statuts-types des établissements), n° 2025-388 (Cadre national de concertation) et n° 2025-389 (financement basé sur les performances), tous du 2 juillet 2025.</w:t>
      </w:r>
    </w:p>
  </w:footnote>
  <w:footnote w:id="4">
    <w:p w14:paraId="1178880C" w14:textId="77777777" w:rsidR="00E6427B" w:rsidRPr="003416F4" w:rsidRDefault="00435B59">
      <w:pPr>
        <w:rPr>
          <w:lang w:val="fr-FR"/>
        </w:rPr>
      </w:pPr>
      <w:r>
        <w:rPr>
          <w:rStyle w:val="FootnoteReference"/>
        </w:rPr>
        <w:footnoteRef/>
      </w:r>
      <w:r w:rsidRPr="003416F4">
        <w:rPr>
          <w:color w:val="444444"/>
          <w:sz w:val="18"/>
          <w:szCs w:val="18"/>
          <w:lang w:val="fr-FR"/>
        </w:rPr>
        <w:t>Décret n° 2021-325 du 30 juin 2021 portant création de l'ADET sous tutelle de la Présidence de la République. Directeur Général Fructueux Sylvain Aho nommé le 21 juillet 2021.</w:t>
      </w:r>
    </w:p>
  </w:footnote>
  <w:footnote w:id="5">
    <w:p w14:paraId="5807E19D" w14:textId="77777777" w:rsidR="00E6427B" w:rsidRPr="003416F4" w:rsidRDefault="00435B59">
      <w:pPr>
        <w:rPr>
          <w:lang w:val="fr-FR"/>
        </w:rPr>
      </w:pPr>
      <w:r>
        <w:rPr>
          <w:rStyle w:val="FootnoteReference"/>
        </w:rPr>
        <w:footnoteRef/>
      </w:r>
      <w:r w:rsidRPr="003416F4">
        <w:rPr>
          <w:color w:val="444444"/>
          <w:sz w:val="18"/>
          <w:szCs w:val="18"/>
          <w:lang w:val="fr-FR"/>
        </w:rPr>
        <w:t>Décret n° 2017-440 du 31 août 2017 portant création de l'Agence de Développement de Sèmè City (ADSC).</w:t>
      </w:r>
    </w:p>
  </w:footnote>
  <w:footnote w:id="6">
    <w:p w14:paraId="41673926" w14:textId="77777777" w:rsidR="00E6427B" w:rsidRPr="003416F4" w:rsidRDefault="00435B59">
      <w:pPr>
        <w:rPr>
          <w:lang w:val="fr-FR"/>
        </w:rPr>
      </w:pPr>
      <w:r>
        <w:rPr>
          <w:rStyle w:val="FootnoteReference"/>
        </w:rPr>
        <w:footnoteRef/>
      </w:r>
      <w:r w:rsidRPr="003416F4">
        <w:rPr>
          <w:color w:val="444444"/>
          <w:sz w:val="18"/>
          <w:szCs w:val="18"/>
          <w:lang w:val="fr-FR"/>
        </w:rPr>
        <w:t>École des Métiers du Numérique, créée par décret n° 2020-492.</w:t>
      </w:r>
    </w:p>
  </w:footnote>
  <w:footnote w:id="7">
    <w:p w14:paraId="30083CF9" w14:textId="77777777" w:rsidR="00E6427B" w:rsidRPr="003416F4" w:rsidRDefault="00435B59">
      <w:pPr>
        <w:rPr>
          <w:lang w:val="fr-FR"/>
        </w:rPr>
      </w:pPr>
      <w:r>
        <w:rPr>
          <w:rStyle w:val="FootnoteReference"/>
        </w:rPr>
        <w:footnoteRef/>
      </w:r>
      <w:r w:rsidRPr="003416F4">
        <w:rPr>
          <w:color w:val="444444"/>
          <w:sz w:val="18"/>
          <w:szCs w:val="18"/>
          <w:lang w:val="fr-FR"/>
        </w:rPr>
        <w:t>Fondation Sèmè City régie par le décret n° 2025-372 du 2 juillet 2025. Président Lionel Zinsou nommé en Conseil des Ministres du 1er octobre 2025.</w:t>
      </w:r>
    </w:p>
  </w:footnote>
  <w:footnote w:id="8">
    <w:p w14:paraId="4717F1F3" w14:textId="77777777" w:rsidR="00E6427B" w:rsidRPr="003416F4" w:rsidRDefault="00435B59">
      <w:pPr>
        <w:rPr>
          <w:lang w:val="fr-FR"/>
        </w:rPr>
      </w:pPr>
      <w:r>
        <w:rPr>
          <w:rStyle w:val="FootnoteReference"/>
        </w:rPr>
        <w:footnoteRef/>
      </w:r>
      <w:r w:rsidRPr="003416F4">
        <w:rPr>
          <w:color w:val="444444"/>
          <w:sz w:val="18"/>
          <w:szCs w:val="18"/>
          <w:lang w:val="fr-FR"/>
        </w:rPr>
        <w:t>Université Nationale d'Agriculture (UNA) de Kétou, créée par décret en octobre 2016, dotée de neuf écoles professionnelles sur quatre sites.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4F3"/>
    <w:multiLevelType w:val="hybridMultilevel"/>
    <w:tmpl w:val="FCC8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4048A2"/>
    <w:multiLevelType w:val="hybridMultilevel"/>
    <w:tmpl w:val="6776B812"/>
    <w:lvl w:ilvl="0" w:tplc="388E1AF0">
      <w:start w:val="1"/>
      <w:numFmt w:val="bullet"/>
      <w:lvlText w:val="●"/>
      <w:lvlJc w:val="left"/>
      <w:pPr>
        <w:ind w:left="720" w:hanging="360"/>
      </w:pPr>
    </w:lvl>
    <w:lvl w:ilvl="1" w:tplc="D90A0E64">
      <w:start w:val="1"/>
      <w:numFmt w:val="bullet"/>
      <w:lvlText w:val="○"/>
      <w:lvlJc w:val="left"/>
      <w:pPr>
        <w:ind w:left="1440" w:hanging="360"/>
      </w:pPr>
    </w:lvl>
    <w:lvl w:ilvl="2" w:tplc="89284ADA">
      <w:start w:val="1"/>
      <w:numFmt w:val="bullet"/>
      <w:lvlText w:val="■"/>
      <w:lvlJc w:val="left"/>
      <w:pPr>
        <w:ind w:left="2160" w:hanging="360"/>
      </w:pPr>
    </w:lvl>
    <w:lvl w:ilvl="3" w:tplc="E318BEA8">
      <w:start w:val="1"/>
      <w:numFmt w:val="bullet"/>
      <w:lvlText w:val="●"/>
      <w:lvlJc w:val="left"/>
      <w:pPr>
        <w:ind w:left="2880" w:hanging="360"/>
      </w:pPr>
    </w:lvl>
    <w:lvl w:ilvl="4" w:tplc="D034ED04">
      <w:start w:val="1"/>
      <w:numFmt w:val="bullet"/>
      <w:lvlText w:val="○"/>
      <w:lvlJc w:val="left"/>
      <w:pPr>
        <w:ind w:left="3600" w:hanging="360"/>
      </w:pPr>
    </w:lvl>
    <w:lvl w:ilvl="5" w:tplc="5A96BCA2">
      <w:start w:val="1"/>
      <w:numFmt w:val="bullet"/>
      <w:lvlText w:val="■"/>
      <w:lvlJc w:val="left"/>
      <w:pPr>
        <w:ind w:left="4320" w:hanging="360"/>
      </w:pPr>
    </w:lvl>
    <w:lvl w:ilvl="6" w:tplc="4C22290A">
      <w:start w:val="1"/>
      <w:numFmt w:val="bullet"/>
      <w:lvlText w:val="●"/>
      <w:lvlJc w:val="left"/>
      <w:pPr>
        <w:ind w:left="5040" w:hanging="360"/>
      </w:pPr>
    </w:lvl>
    <w:lvl w:ilvl="7" w:tplc="DF345A3A">
      <w:start w:val="1"/>
      <w:numFmt w:val="bullet"/>
      <w:lvlText w:val="●"/>
      <w:lvlJc w:val="left"/>
      <w:pPr>
        <w:ind w:left="5760" w:hanging="360"/>
      </w:pPr>
    </w:lvl>
    <w:lvl w:ilvl="8" w:tplc="CCF21586">
      <w:start w:val="1"/>
      <w:numFmt w:val="bullet"/>
      <w:lvlText w:val="●"/>
      <w:lvlJc w:val="left"/>
      <w:pPr>
        <w:ind w:left="6480" w:hanging="360"/>
      </w:pPr>
    </w:lvl>
  </w:abstractNum>
  <w:abstractNum w:abstractNumId="2" w15:restartNumberingAfterBreak="0">
    <w:nsid w:val="57EA747B"/>
    <w:multiLevelType w:val="hybridMultilevel"/>
    <w:tmpl w:val="B8FE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210750">
    <w:abstractNumId w:val="1"/>
    <w:lvlOverride w:ilvl="0">
      <w:startOverride w:val="1"/>
    </w:lvlOverride>
  </w:num>
  <w:num w:numId="2" w16cid:durableId="70591953">
    <w:abstractNumId w:val="0"/>
  </w:num>
  <w:num w:numId="3" w16cid:durableId="391001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13"/>
  <w:displayBackgroundShape/>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27B"/>
    <w:rsid w:val="001D5417"/>
    <w:rsid w:val="00267119"/>
    <w:rsid w:val="00267BC5"/>
    <w:rsid w:val="003416F4"/>
    <w:rsid w:val="00435B59"/>
    <w:rsid w:val="00453BDD"/>
    <w:rsid w:val="00587EA6"/>
    <w:rsid w:val="00634FF4"/>
    <w:rsid w:val="006B0658"/>
    <w:rsid w:val="008947AE"/>
    <w:rsid w:val="00CE23E3"/>
    <w:rsid w:val="00D555EF"/>
    <w:rsid w:val="00D9262E"/>
    <w:rsid w:val="00E37600"/>
    <w:rsid w:val="00E64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3F66"/>
  <w15:docId w15:val="{3D989253-E105-4AEE-97C8-09C52528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7119"/>
    <w:pPr>
      <w:tabs>
        <w:tab w:val="center" w:pos="4680"/>
        <w:tab w:val="right" w:pos="9360"/>
      </w:tabs>
    </w:pPr>
  </w:style>
  <w:style w:type="character" w:customStyle="1" w:styleId="HeaderChar">
    <w:name w:val="Header Char"/>
    <w:basedOn w:val="DefaultParagraphFont"/>
    <w:link w:val="Header"/>
    <w:uiPriority w:val="99"/>
    <w:rsid w:val="00267119"/>
  </w:style>
  <w:style w:type="paragraph" w:styleId="Footer">
    <w:name w:val="footer"/>
    <w:basedOn w:val="Normal"/>
    <w:link w:val="FooterChar"/>
    <w:uiPriority w:val="99"/>
    <w:unhideWhenUsed/>
    <w:rsid w:val="00267119"/>
    <w:pPr>
      <w:tabs>
        <w:tab w:val="center" w:pos="4680"/>
        <w:tab w:val="right" w:pos="9360"/>
      </w:tabs>
    </w:pPr>
  </w:style>
  <w:style w:type="character" w:customStyle="1" w:styleId="FooterChar">
    <w:name w:val="Footer Char"/>
    <w:basedOn w:val="DefaultParagraphFont"/>
    <w:link w:val="Footer"/>
    <w:uiPriority w:val="99"/>
    <w:rsid w:val="0026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Bonaventure Fandohan</cp:lastModifiedBy>
  <cp:revision>2</cp:revision>
  <dcterms:created xsi:type="dcterms:W3CDTF">2026-02-22T17:09:00Z</dcterms:created>
  <dcterms:modified xsi:type="dcterms:W3CDTF">2026-02-22T17:09:00Z</dcterms:modified>
</cp:coreProperties>
</file>